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065ABB" w14:textId="77777777" w:rsidR="0094424E" w:rsidRDefault="0094424E" w:rsidP="00D44968">
      <w:pPr>
        <w:suppressLineNumbers/>
        <w:rPr>
          <w:rtl/>
        </w:rPr>
      </w:pPr>
      <w:bookmarkStart w:id="0" w:name="_GoBack"/>
      <w:bookmarkEnd w:id="0"/>
      <w:r>
        <w:rPr>
          <w:rtl/>
        </w:rPr>
        <w:t xml:space="preserve"> </w:t>
      </w:r>
    </w:p>
    <w:tbl>
      <w:tblPr>
        <w:tblStyle w:val="ac"/>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14:paraId="39BB600C" w14:textId="77777777">
        <w:trPr>
          <w:jc w:val="center"/>
        </w:trPr>
        <w:tc>
          <w:tcPr>
            <w:tcW w:w="743" w:type="dxa"/>
          </w:tcPr>
          <w:p w14:paraId="65D38449" w14:textId="77777777" w:rsidR="0094424E" w:rsidRDefault="00431C0D"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2"/>
          </w:tcPr>
          <w:p w14:paraId="7E86C1E0" w14:textId="77777777" w:rsidR="0094424E" w:rsidRDefault="000529D2" w:rsidP="00E9269D">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אילן בן-דור</w:t>
                </w:r>
              </w:sdtContent>
            </w:sdt>
          </w:p>
          <w:p w14:paraId="12C8BB05" w14:textId="77777777" w:rsidR="0094424E" w:rsidRDefault="0094424E" w:rsidP="00D44968">
            <w:pPr>
              <w:suppressLineNumbers/>
              <w:rPr>
                <w:rFonts w:ascii="Arial" w:hAnsi="Arial" w:cs="FrankRuehl"/>
                <w:sz w:val="28"/>
                <w:szCs w:val="28"/>
                <w:highlight w:val="yellow"/>
              </w:rPr>
            </w:pPr>
          </w:p>
        </w:tc>
      </w:tr>
      <w:tr w:rsidR="0094424E" w14:paraId="4A03313F" w14:textId="77777777" w:rsidTr="00465D36">
        <w:trPr>
          <w:jc w:val="center"/>
        </w:trPr>
        <w:tc>
          <w:tcPr>
            <w:tcW w:w="3249" w:type="dxa"/>
            <w:gridSpan w:val="2"/>
          </w:tcPr>
          <w:p w14:paraId="64606CCC" w14:textId="77777777"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14:paraId="623AB00A" w14:textId="77777777" w:rsidR="00687D2B" w:rsidRDefault="00C80EE1">
                <w:pPr>
                  <w:suppressLineNumbers/>
                  <w:rPr>
                    <w:rFonts w:ascii="Arial" w:hAnsi="Arial"/>
                    <w:b/>
                    <w:bCs/>
                    <w:noProof w:val="0"/>
                    <w:sz w:val="26"/>
                    <w:szCs w:val="26"/>
                    <w:rtl/>
                  </w:rPr>
                </w:pPr>
                <w:r>
                  <w:rPr>
                    <w:rFonts w:ascii="Arial" w:hAnsi="Arial"/>
                    <w:b/>
                    <w:bCs/>
                    <w:noProof w:val="0"/>
                    <w:sz w:val="26"/>
                    <w:szCs w:val="26"/>
                    <w:rtl/>
                  </w:rPr>
                  <w:t>מבקשים</w:t>
                </w:r>
              </w:p>
            </w:sdtContent>
          </w:sdt>
        </w:tc>
        <w:tc>
          <w:tcPr>
            <w:tcW w:w="5571" w:type="dxa"/>
          </w:tcPr>
          <w:p w14:paraId="008058FC" w14:textId="77777777" w:rsidR="0094424E" w:rsidRDefault="0094424E" w:rsidP="00D44968">
            <w:pPr>
              <w:suppressLineNumbers/>
              <w:rPr>
                <w:rFonts w:ascii="Arial" w:hAnsi="Arial"/>
                <w:b/>
                <w:bCs/>
                <w:noProof w:val="0"/>
                <w:sz w:val="26"/>
                <w:szCs w:val="26"/>
                <w:rtl/>
              </w:rPr>
            </w:pPr>
          </w:p>
          <w:p w14:paraId="56E27DDB" w14:textId="77777777" w:rsidR="0094424E" w:rsidRPr="00405FAA" w:rsidRDefault="00AB7D7F" w:rsidP="007957CF">
            <w:pPr>
              <w:suppressLineNumbers/>
              <w:rPr>
                <w:rFonts w:ascii="Arial" w:hAnsi="Arial"/>
                <w:b/>
                <w:bCs/>
                <w:noProof w:val="0"/>
                <w:sz w:val="26"/>
                <w:szCs w:val="26"/>
              </w:rPr>
            </w:pPr>
            <w:sdt>
              <w:sdtPr>
                <w:rPr>
                  <w:rFonts w:ascii="Arial" w:hAnsi="Arial"/>
                  <w:b/>
                  <w:bCs/>
                  <w:noProof w:val="0"/>
                  <w:sz w:val="26"/>
                  <w:szCs w:val="26"/>
                  <w:rtl/>
                </w:rPr>
                <w:alias w:val="1478"/>
                <w:tag w:val="1478"/>
                <w:id w:val="-2076122985"/>
                <w:text w:multiLine="1"/>
              </w:sdtPr>
              <w:sdtEndPr/>
              <w:sdtContent>
                <w:r w:rsidR="00431C0D">
                  <w:rPr>
                    <w:rFonts w:ascii="Arial" w:hAnsi="Arial"/>
                    <w:b/>
                    <w:bCs/>
                    <w:noProof w:val="0"/>
                    <w:sz w:val="26"/>
                    <w:szCs w:val="26"/>
                    <w:rtl/>
                  </w:rPr>
                  <w:t>מלי במני חדד</w:t>
                </w:r>
              </w:sdtContent>
            </w:sdt>
          </w:p>
        </w:tc>
      </w:tr>
      <w:tr w:rsidR="0094424E" w14:paraId="0A4FB3EF" w14:textId="77777777">
        <w:trPr>
          <w:jc w:val="center"/>
        </w:trPr>
        <w:tc>
          <w:tcPr>
            <w:tcW w:w="8820" w:type="dxa"/>
            <w:gridSpan w:val="3"/>
          </w:tcPr>
          <w:p w14:paraId="77851866" w14:textId="77777777" w:rsidR="0094424E" w:rsidRPr="00405FAA" w:rsidRDefault="0094424E" w:rsidP="00D44968">
            <w:pPr>
              <w:suppressLineNumbers/>
              <w:rPr>
                <w:rFonts w:ascii="Arial" w:hAnsi="Arial"/>
                <w:b/>
                <w:bCs/>
                <w:noProof w:val="0"/>
                <w:sz w:val="26"/>
                <w:szCs w:val="26"/>
                <w:rtl/>
              </w:rPr>
            </w:pPr>
          </w:p>
          <w:p w14:paraId="4805EB14" w14:textId="77777777"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14:paraId="26183901" w14:textId="77777777" w:rsidR="0094424E" w:rsidRDefault="0094424E" w:rsidP="00D44968">
            <w:pPr>
              <w:suppressLineNumbers/>
              <w:rPr>
                <w:rFonts w:ascii="Arial" w:hAnsi="Arial"/>
                <w:b/>
                <w:bCs/>
                <w:noProof w:val="0"/>
                <w:sz w:val="26"/>
                <w:szCs w:val="26"/>
              </w:rPr>
            </w:pPr>
          </w:p>
        </w:tc>
      </w:tr>
      <w:tr w:rsidR="0094424E" w14:paraId="587937B2" w14:textId="77777777">
        <w:trPr>
          <w:jc w:val="center"/>
        </w:trPr>
        <w:tc>
          <w:tcPr>
            <w:tcW w:w="3249" w:type="dxa"/>
            <w:gridSpan w:val="2"/>
          </w:tcPr>
          <w:p w14:paraId="2EB67FC3" w14:textId="77777777" w:rsidR="0094424E" w:rsidRDefault="00AB7D7F" w:rsidP="00D44968">
            <w:pPr>
              <w:suppressLineNumbers/>
              <w:rPr>
                <w:rFonts w:ascii="Arial" w:hAnsi="Arial"/>
                <w:b/>
                <w:bCs/>
                <w:noProof w:val="0"/>
                <w:sz w:val="26"/>
                <w:szCs w:val="26"/>
              </w:rPr>
            </w:pPr>
            <w:sdt>
              <w:sdtPr>
                <w:rPr>
                  <w:rtl/>
                </w:rPr>
                <w:alias w:val="1184"/>
                <w:tag w:val="1184"/>
                <w:id w:val="-340621022"/>
                <w:text w:multiLine="1"/>
              </w:sdtPr>
              <w:sdtEndPr/>
              <w:sdtContent>
                <w:r w:rsidR="00431C0D">
                  <w:rPr>
                    <w:rFonts w:ascii="Arial" w:hAnsi="Arial"/>
                    <w:b/>
                    <w:bCs/>
                    <w:noProof w:val="0"/>
                    <w:sz w:val="26"/>
                    <w:szCs w:val="26"/>
                    <w:rtl/>
                  </w:rPr>
                  <w:t>משיבים</w:t>
                </w:r>
              </w:sdtContent>
            </w:sdt>
          </w:p>
        </w:tc>
        <w:tc>
          <w:tcPr>
            <w:tcW w:w="5571" w:type="dxa"/>
          </w:tcPr>
          <w:p w14:paraId="2A502E90" w14:textId="77777777" w:rsidR="00CF6BB7" w:rsidRPr="00EF44B7" w:rsidRDefault="00AB7D7F" w:rsidP="007957CF">
            <w:pPr>
              <w:suppressLineNumbers/>
              <w:rPr>
                <w:rFonts w:ascii="Arial" w:hAnsi="Arial"/>
                <w:b/>
                <w:bCs/>
                <w:noProof w:val="0"/>
                <w:sz w:val="26"/>
                <w:szCs w:val="26"/>
                <w:rtl/>
              </w:rPr>
            </w:pPr>
            <w:sdt>
              <w:sdtPr>
                <w:rPr>
                  <w:rFonts w:ascii="Arial" w:hAnsi="Arial"/>
                  <w:b/>
                  <w:bCs/>
                  <w:noProof w:val="0"/>
                  <w:sz w:val="26"/>
                  <w:szCs w:val="26"/>
                  <w:rtl/>
                </w:rPr>
                <w:alias w:val="1571"/>
                <w:tag w:val="1571"/>
                <w:id w:val="1028836282"/>
                <w:text w:multiLine="1"/>
              </w:sdtPr>
              <w:sdtEndPr/>
              <w:sdtContent>
                <w:r w:rsidR="00431C0D">
                  <w:rPr>
                    <w:rFonts w:ascii="Arial" w:hAnsi="Arial"/>
                    <w:b/>
                    <w:bCs/>
                    <w:noProof w:val="0"/>
                    <w:sz w:val="26"/>
                    <w:szCs w:val="26"/>
                    <w:rtl/>
                  </w:rPr>
                  <w:t>1</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Fonts w:ascii="Arial" w:hAnsi="Arial"/>
                  <w:b/>
                  <w:bCs/>
                  <w:noProof w:val="0"/>
                  <w:sz w:val="26"/>
                  <w:szCs w:val="26"/>
                  <w:rtl/>
                </w:rPr>
                <w:alias w:val="1486"/>
                <w:tag w:val="1486"/>
                <w:id w:val="-309872140"/>
                <w:text w:multiLine="1"/>
              </w:sdtPr>
              <w:sdtEndPr/>
              <w:sdtContent>
                <w:r w:rsidR="00431C0D">
                  <w:rPr>
                    <w:rFonts w:ascii="Arial" w:hAnsi="Arial"/>
                    <w:b/>
                    <w:bCs/>
                    <w:noProof w:val="0"/>
                    <w:sz w:val="26"/>
                    <w:szCs w:val="26"/>
                    <w:rtl/>
                  </w:rPr>
                  <w:t>זכריה חדד</w:t>
                </w:r>
              </w:sdtContent>
            </w:sdt>
            <w:r w:rsidR="00EF44B7" w:rsidRPr="00EF44B7">
              <w:rPr>
                <w:rFonts w:ascii="Arial" w:hAnsi="Arial" w:hint="cs"/>
                <w:b/>
                <w:bCs/>
                <w:noProof w:val="0"/>
                <w:sz w:val="26"/>
                <w:szCs w:val="26"/>
                <w:rtl/>
              </w:rPr>
              <w:t xml:space="preserve">, </w:t>
            </w:r>
            <w:sdt>
              <w:sdtPr>
                <w:rPr>
                  <w:rFonts w:ascii="Arial" w:hAnsi="Arial" w:hint="cs"/>
                  <w:b/>
                  <w:bCs/>
                  <w:noProof w:val="0"/>
                  <w:sz w:val="26"/>
                  <w:szCs w:val="26"/>
                  <w:rtl/>
                </w:rPr>
                <w:alias w:val="2317"/>
                <w:tag w:val="2317"/>
                <w:id w:val="1724478172"/>
                <w:placeholder>
                  <w:docPart w:val="8A9BABB138C04C84861BBC0B34F0CEA4"/>
                </w:placeholder>
                <w:text w:multiLine="1"/>
              </w:sdtPr>
              <w:sdtEndPr/>
              <w:sdtContent>
                <w:r w:rsidR="00431C0D">
                  <w:rPr>
                    <w:rFonts w:ascii="Arial" w:hAnsi="Arial" w:hint="eastAsia"/>
                    <w:b/>
                    <w:bCs/>
                    <w:noProof w:val="0"/>
                    <w:sz w:val="26"/>
                    <w:szCs w:val="26"/>
                    <w:rtl/>
                  </w:rPr>
                  <w:t>ת"ז</w:t>
                </w:r>
              </w:sdtContent>
            </w:sdt>
            <w:r w:rsidR="00EF44B7" w:rsidRPr="00EF44B7">
              <w:rPr>
                <w:rFonts w:ascii="Arial" w:hAnsi="Arial" w:hint="cs"/>
                <w:b/>
                <w:bCs/>
                <w:noProof w:val="0"/>
                <w:sz w:val="26"/>
                <w:szCs w:val="26"/>
                <w:rtl/>
              </w:rPr>
              <w:t xml:space="preserve"> </w:t>
            </w:r>
            <w:sdt>
              <w:sdtPr>
                <w:rPr>
                  <w:rFonts w:ascii="Arial" w:hAnsi="Arial" w:hint="cs"/>
                  <w:b/>
                  <w:bCs/>
                  <w:noProof w:val="0"/>
                  <w:sz w:val="26"/>
                  <w:szCs w:val="26"/>
                  <w:rtl/>
                </w:rPr>
                <w:alias w:val="2318"/>
                <w:tag w:val="2318"/>
                <w:id w:val="-586765691"/>
                <w:placeholder>
                  <w:docPart w:val="2CE4BB4EA417464B9522B31A0F0D6FC8"/>
                </w:placeholder>
                <w:text w:multiLine="1"/>
              </w:sdtPr>
              <w:sdtEndPr/>
              <w:sdtContent>
                <w:r w:rsidR="00431C0D">
                  <w:rPr>
                    <w:rFonts w:ascii="Arial" w:hAnsi="Arial" w:hint="eastAsia"/>
                    <w:b/>
                    <w:bCs/>
                    <w:noProof w:val="0"/>
                    <w:sz w:val="26"/>
                    <w:szCs w:val="26"/>
                    <w:rtl/>
                  </w:rPr>
                  <w:t>052122223</w:t>
                </w:r>
              </w:sdtContent>
            </w:sdt>
          </w:p>
          <w:p w14:paraId="6117122B" w14:textId="77777777" w:rsidR="00CF6BB7" w:rsidRPr="00EF44B7" w:rsidRDefault="00AB7D7F" w:rsidP="007957CF">
            <w:pPr>
              <w:suppressLineNumbers/>
              <w:rPr>
                <w:rFonts w:ascii="Arial" w:hAnsi="Arial"/>
                <w:b/>
                <w:bCs/>
                <w:noProof w:val="0"/>
                <w:sz w:val="26"/>
                <w:szCs w:val="26"/>
                <w:rtl/>
              </w:rPr>
            </w:pPr>
            <w:sdt>
              <w:sdtPr>
                <w:rPr>
                  <w:rFonts w:ascii="Arial" w:hAnsi="Arial"/>
                  <w:b/>
                  <w:bCs/>
                  <w:noProof w:val="0"/>
                  <w:sz w:val="26"/>
                  <w:szCs w:val="26"/>
                  <w:rtl/>
                </w:rPr>
                <w:alias w:val="1571"/>
                <w:tag w:val="1571"/>
                <w:id w:val="-1827668715"/>
                <w:text w:multiLine="1"/>
              </w:sdtPr>
              <w:sdtEndPr/>
              <w:sdtContent>
                <w:r w:rsidR="00431C0D">
                  <w:rPr>
                    <w:rFonts w:ascii="Arial" w:hAnsi="Arial"/>
                    <w:b/>
                    <w:bCs/>
                    <w:noProof w:val="0"/>
                    <w:sz w:val="26"/>
                    <w:szCs w:val="26"/>
                    <w:rtl/>
                  </w:rPr>
                  <w:t>2</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Fonts w:ascii="Arial" w:hAnsi="Arial"/>
                  <w:b/>
                  <w:bCs/>
                  <w:noProof w:val="0"/>
                  <w:sz w:val="26"/>
                  <w:szCs w:val="26"/>
                  <w:rtl/>
                </w:rPr>
                <w:alias w:val="1486"/>
                <w:tag w:val="1486"/>
                <w:id w:val="1228738103"/>
                <w:text w:multiLine="1"/>
              </w:sdtPr>
              <w:sdtEndPr/>
              <w:sdtContent>
                <w:r w:rsidR="00431C0D">
                  <w:rPr>
                    <w:rFonts w:ascii="Arial" w:hAnsi="Arial"/>
                    <w:b/>
                    <w:bCs/>
                    <w:noProof w:val="0"/>
                    <w:sz w:val="26"/>
                    <w:szCs w:val="26"/>
                    <w:rtl/>
                  </w:rPr>
                  <w:t>ממונה על חדלות פירעון – מחוז תל אביב</w:t>
                </w:r>
              </w:sdtContent>
            </w:sdt>
            <w:r w:rsidR="00EF44B7" w:rsidRPr="00EF44B7">
              <w:rPr>
                <w:rFonts w:ascii="Arial" w:hAnsi="Arial" w:hint="cs"/>
                <w:b/>
                <w:bCs/>
                <w:noProof w:val="0"/>
                <w:sz w:val="26"/>
                <w:szCs w:val="26"/>
                <w:rtl/>
              </w:rPr>
              <w:t xml:space="preserve">, </w:t>
            </w:r>
            <w:sdt>
              <w:sdtPr>
                <w:rPr>
                  <w:rFonts w:ascii="Arial" w:hAnsi="Arial" w:hint="cs"/>
                  <w:b/>
                  <w:bCs/>
                  <w:noProof w:val="0"/>
                  <w:sz w:val="26"/>
                  <w:szCs w:val="26"/>
                  <w:rtl/>
                </w:rPr>
                <w:alias w:val="2317"/>
                <w:tag w:val="2317"/>
                <w:id w:val="-1852327275"/>
                <w:placeholder>
                  <w:docPart w:val="8A9BABB138C04C84861BBC0B34F0CEA4"/>
                </w:placeholder>
                <w:text w:multiLine="1"/>
              </w:sdtPr>
              <w:sdtEndPr/>
              <w:sdtContent>
                <w:r w:rsidR="00431C0D">
                  <w:rPr>
                    <w:rFonts w:ascii="Arial" w:hAnsi="Arial" w:hint="eastAsia"/>
                    <w:b/>
                    <w:bCs/>
                    <w:noProof w:val="0"/>
                    <w:sz w:val="26"/>
                    <w:szCs w:val="26"/>
                    <w:rtl/>
                  </w:rPr>
                  <w:t>משרדי ממשלה</w:t>
                </w:r>
              </w:sdtContent>
            </w:sdt>
            <w:r w:rsidR="00EF44B7" w:rsidRPr="00EF44B7">
              <w:rPr>
                <w:rFonts w:ascii="Arial" w:hAnsi="Arial" w:hint="cs"/>
                <w:b/>
                <w:bCs/>
                <w:noProof w:val="0"/>
                <w:sz w:val="26"/>
                <w:szCs w:val="26"/>
                <w:rtl/>
              </w:rPr>
              <w:t xml:space="preserve"> </w:t>
            </w:r>
            <w:sdt>
              <w:sdtPr>
                <w:rPr>
                  <w:rFonts w:ascii="Arial" w:hAnsi="Arial" w:hint="cs"/>
                  <w:b/>
                  <w:bCs/>
                  <w:noProof w:val="0"/>
                  <w:sz w:val="26"/>
                  <w:szCs w:val="26"/>
                  <w:rtl/>
                </w:rPr>
                <w:alias w:val="2318"/>
                <w:tag w:val="2318"/>
                <w:id w:val="1538770615"/>
                <w:placeholder>
                  <w:docPart w:val="2CE4BB4EA417464B9522B31A0F0D6FC8"/>
                </w:placeholder>
                <w:text w:multiLine="1"/>
              </w:sdtPr>
              <w:sdtEndPr/>
              <w:sdtContent>
                <w:r w:rsidR="00431C0D">
                  <w:rPr>
                    <w:rFonts w:ascii="Arial" w:hAnsi="Arial" w:hint="eastAsia"/>
                    <w:b/>
                    <w:bCs/>
                    <w:noProof w:val="0"/>
                    <w:sz w:val="26"/>
                    <w:szCs w:val="26"/>
                    <w:rtl/>
                  </w:rPr>
                  <w:t>570001772</w:t>
                </w:r>
              </w:sdtContent>
            </w:sdt>
          </w:p>
          <w:p w14:paraId="4D20DCE1" w14:textId="77777777" w:rsidR="00CF6BB7" w:rsidRPr="00EF44B7" w:rsidRDefault="00AB7D7F" w:rsidP="007957CF">
            <w:pPr>
              <w:suppressLineNumbers/>
              <w:rPr>
                <w:rFonts w:ascii="Arial" w:hAnsi="Arial"/>
                <w:b/>
                <w:bCs/>
                <w:noProof w:val="0"/>
                <w:sz w:val="26"/>
                <w:szCs w:val="26"/>
                <w:rtl/>
              </w:rPr>
            </w:pPr>
            <w:sdt>
              <w:sdtPr>
                <w:rPr>
                  <w:rFonts w:ascii="Arial" w:hAnsi="Arial"/>
                  <w:b/>
                  <w:bCs/>
                  <w:noProof w:val="0"/>
                  <w:sz w:val="26"/>
                  <w:szCs w:val="26"/>
                  <w:rtl/>
                </w:rPr>
                <w:alias w:val="1571"/>
                <w:tag w:val="1571"/>
                <w:id w:val="-741953247"/>
                <w:text w:multiLine="1"/>
              </w:sdtPr>
              <w:sdtEndPr/>
              <w:sdtContent>
                <w:r w:rsidR="00431C0D">
                  <w:rPr>
                    <w:rFonts w:ascii="Arial" w:hAnsi="Arial"/>
                    <w:b/>
                    <w:bCs/>
                    <w:noProof w:val="0"/>
                    <w:sz w:val="26"/>
                    <w:szCs w:val="26"/>
                    <w:rtl/>
                  </w:rPr>
                  <w:t>3</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Fonts w:ascii="Arial" w:hAnsi="Arial"/>
                  <w:b/>
                  <w:bCs/>
                  <w:noProof w:val="0"/>
                  <w:sz w:val="26"/>
                  <w:szCs w:val="26"/>
                  <w:rtl/>
                </w:rPr>
                <w:alias w:val="1486"/>
                <w:tag w:val="1486"/>
                <w:id w:val="-1154222955"/>
                <w:text w:multiLine="1"/>
              </w:sdtPr>
              <w:sdtEndPr/>
              <w:sdtContent>
                <w:r w:rsidR="00431C0D">
                  <w:rPr>
                    <w:rFonts w:ascii="Arial" w:hAnsi="Arial"/>
                    <w:b/>
                    <w:bCs/>
                    <w:noProof w:val="0"/>
                    <w:sz w:val="26"/>
                    <w:szCs w:val="26"/>
                    <w:rtl/>
                  </w:rPr>
                  <w:t>עו"ד אורי בראון (נאמן)</w:t>
                </w:r>
              </w:sdtContent>
            </w:sdt>
            <w:r w:rsidR="00EF44B7" w:rsidRPr="00EF44B7">
              <w:rPr>
                <w:rFonts w:ascii="Arial" w:hAnsi="Arial" w:hint="cs"/>
                <w:b/>
                <w:bCs/>
                <w:noProof w:val="0"/>
                <w:sz w:val="26"/>
                <w:szCs w:val="26"/>
                <w:rtl/>
              </w:rPr>
              <w:t xml:space="preserve">, </w:t>
            </w:r>
            <w:sdt>
              <w:sdtPr>
                <w:rPr>
                  <w:rFonts w:ascii="Arial" w:hAnsi="Arial" w:hint="cs"/>
                  <w:b/>
                  <w:bCs/>
                  <w:noProof w:val="0"/>
                  <w:sz w:val="26"/>
                  <w:szCs w:val="26"/>
                  <w:rtl/>
                </w:rPr>
                <w:alias w:val="2317"/>
                <w:tag w:val="2317"/>
                <w:id w:val="1624807231"/>
                <w:placeholder>
                  <w:docPart w:val="8A9BABB138C04C84861BBC0B34F0CEA4"/>
                </w:placeholder>
                <w:text w:multiLine="1"/>
              </w:sdtPr>
              <w:sdtEndPr/>
              <w:sdtContent>
                <w:r w:rsidR="00431C0D">
                  <w:rPr>
                    <w:rFonts w:ascii="Arial" w:hAnsi="Arial" w:hint="eastAsia"/>
                    <w:b/>
                    <w:bCs/>
                    <w:noProof w:val="0"/>
                    <w:sz w:val="26"/>
                    <w:szCs w:val="26"/>
                    <w:rtl/>
                  </w:rPr>
                  <w:t>ת"ז</w:t>
                </w:r>
              </w:sdtContent>
            </w:sdt>
            <w:r w:rsidR="00EF44B7" w:rsidRPr="00EF44B7">
              <w:rPr>
                <w:rFonts w:ascii="Arial" w:hAnsi="Arial" w:hint="cs"/>
                <w:b/>
                <w:bCs/>
                <w:noProof w:val="0"/>
                <w:sz w:val="26"/>
                <w:szCs w:val="26"/>
                <w:rtl/>
              </w:rPr>
              <w:t xml:space="preserve"> </w:t>
            </w:r>
            <w:sdt>
              <w:sdtPr>
                <w:rPr>
                  <w:rFonts w:ascii="Arial" w:hAnsi="Arial" w:hint="cs"/>
                  <w:b/>
                  <w:bCs/>
                  <w:noProof w:val="0"/>
                  <w:sz w:val="26"/>
                  <w:szCs w:val="26"/>
                  <w:rtl/>
                </w:rPr>
                <w:alias w:val="2318"/>
                <w:tag w:val="2318"/>
                <w:id w:val="-1344849195"/>
                <w:placeholder>
                  <w:docPart w:val="2CE4BB4EA417464B9522B31A0F0D6FC8"/>
                </w:placeholder>
                <w:showingPlcHdr/>
                <w:text w:multiLine="1"/>
              </w:sdtPr>
              <w:sdtEndPr/>
              <w:sdtContent>
                <w:r w:rsidR="00EF44B7" w:rsidRPr="00EF44B7">
                  <w:rPr>
                    <w:rFonts w:ascii="Arial" w:hAnsi="Arial" w:hint="eastAsia"/>
                    <w:b/>
                    <w:bCs/>
                    <w:noProof w:val="0"/>
                    <w:sz w:val="26"/>
                    <w:szCs w:val="26"/>
                    <w:highlight w:val="yellow"/>
                    <w:rtl/>
                  </w:rPr>
                  <w:t>מספר</w:t>
                </w:r>
                <w:r w:rsidR="00EF44B7" w:rsidRPr="00EF44B7">
                  <w:rPr>
                    <w:rFonts w:ascii="Arial" w:hAnsi="Arial"/>
                    <w:b/>
                    <w:bCs/>
                    <w:noProof w:val="0"/>
                    <w:sz w:val="26"/>
                    <w:szCs w:val="26"/>
                    <w:highlight w:val="yellow"/>
                    <w:rtl/>
                  </w:rPr>
                  <w:t xml:space="preserve"> זיהוי צד ב'</w:t>
                </w:r>
              </w:sdtContent>
            </w:sdt>
          </w:p>
          <w:p w14:paraId="00C674BD" w14:textId="77777777" w:rsidR="00CF6BB7" w:rsidRPr="00EF44B7" w:rsidRDefault="00AB7D7F" w:rsidP="007957CF">
            <w:pPr>
              <w:suppressLineNumbers/>
              <w:rPr>
                <w:rFonts w:ascii="Arial" w:hAnsi="Arial"/>
                <w:b/>
                <w:bCs/>
                <w:noProof w:val="0"/>
                <w:sz w:val="26"/>
                <w:szCs w:val="26"/>
                <w:rtl/>
              </w:rPr>
            </w:pPr>
            <w:sdt>
              <w:sdtPr>
                <w:rPr>
                  <w:rFonts w:ascii="Arial" w:hAnsi="Arial"/>
                  <w:b/>
                  <w:bCs/>
                  <w:noProof w:val="0"/>
                  <w:sz w:val="26"/>
                  <w:szCs w:val="26"/>
                  <w:rtl/>
                </w:rPr>
                <w:alias w:val="1571"/>
                <w:tag w:val="1571"/>
                <w:id w:val="-793134325"/>
                <w:text w:multiLine="1"/>
              </w:sdtPr>
              <w:sdtEndPr/>
              <w:sdtContent>
                <w:r w:rsidR="00431C0D">
                  <w:rPr>
                    <w:rFonts w:ascii="Arial" w:hAnsi="Arial"/>
                    <w:b/>
                    <w:bCs/>
                    <w:noProof w:val="0"/>
                    <w:sz w:val="26"/>
                    <w:szCs w:val="26"/>
                    <w:rtl/>
                  </w:rPr>
                  <w:t>4</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Fonts w:ascii="Arial" w:hAnsi="Arial"/>
                  <w:b/>
                  <w:bCs/>
                  <w:noProof w:val="0"/>
                  <w:sz w:val="26"/>
                  <w:szCs w:val="26"/>
                  <w:rtl/>
                </w:rPr>
                <w:alias w:val="1486"/>
                <w:tag w:val="1486"/>
                <w:id w:val="-1639485484"/>
                <w:text w:multiLine="1"/>
              </w:sdtPr>
              <w:sdtEndPr/>
              <w:sdtContent>
                <w:r w:rsidR="00431C0D">
                  <w:rPr>
                    <w:rFonts w:ascii="Arial" w:hAnsi="Arial"/>
                    <w:b/>
                    <w:bCs/>
                    <w:noProof w:val="0"/>
                    <w:sz w:val="26"/>
                    <w:szCs w:val="26"/>
                    <w:rtl/>
                  </w:rPr>
                  <w:t>יונה חדד</w:t>
                </w:r>
              </w:sdtContent>
            </w:sdt>
            <w:r w:rsidR="00EF44B7" w:rsidRPr="00EF44B7">
              <w:rPr>
                <w:rFonts w:ascii="Arial" w:hAnsi="Arial" w:hint="cs"/>
                <w:b/>
                <w:bCs/>
                <w:noProof w:val="0"/>
                <w:sz w:val="26"/>
                <w:szCs w:val="26"/>
                <w:rtl/>
              </w:rPr>
              <w:t xml:space="preserve">, </w:t>
            </w:r>
            <w:sdt>
              <w:sdtPr>
                <w:rPr>
                  <w:rFonts w:ascii="Arial" w:hAnsi="Arial" w:hint="cs"/>
                  <w:b/>
                  <w:bCs/>
                  <w:noProof w:val="0"/>
                  <w:sz w:val="26"/>
                  <w:szCs w:val="26"/>
                  <w:rtl/>
                </w:rPr>
                <w:alias w:val="2317"/>
                <w:tag w:val="2317"/>
                <w:id w:val="-2077430662"/>
                <w:placeholder>
                  <w:docPart w:val="8A9BABB138C04C84861BBC0B34F0CEA4"/>
                </w:placeholder>
                <w:text w:multiLine="1"/>
              </w:sdtPr>
              <w:sdtEndPr/>
              <w:sdtContent>
                <w:r w:rsidR="00431C0D">
                  <w:rPr>
                    <w:rFonts w:ascii="Arial" w:hAnsi="Arial" w:hint="eastAsia"/>
                    <w:b/>
                    <w:bCs/>
                    <w:noProof w:val="0"/>
                    <w:sz w:val="26"/>
                    <w:szCs w:val="26"/>
                    <w:rtl/>
                  </w:rPr>
                  <w:t>ת"ז</w:t>
                </w:r>
              </w:sdtContent>
            </w:sdt>
            <w:r w:rsidR="00EF44B7" w:rsidRPr="00EF44B7">
              <w:rPr>
                <w:rFonts w:ascii="Arial" w:hAnsi="Arial" w:hint="cs"/>
                <w:b/>
                <w:bCs/>
                <w:noProof w:val="0"/>
                <w:sz w:val="26"/>
                <w:szCs w:val="26"/>
                <w:rtl/>
              </w:rPr>
              <w:t xml:space="preserve"> </w:t>
            </w:r>
            <w:sdt>
              <w:sdtPr>
                <w:rPr>
                  <w:rFonts w:ascii="Arial" w:hAnsi="Arial" w:hint="cs"/>
                  <w:b/>
                  <w:bCs/>
                  <w:noProof w:val="0"/>
                  <w:sz w:val="26"/>
                  <w:szCs w:val="26"/>
                  <w:rtl/>
                </w:rPr>
                <w:alias w:val="2318"/>
                <w:tag w:val="2318"/>
                <w:id w:val="1781535435"/>
                <w:placeholder>
                  <w:docPart w:val="2CE4BB4EA417464B9522B31A0F0D6FC8"/>
                </w:placeholder>
                <w:showingPlcHdr/>
                <w:text w:multiLine="1"/>
              </w:sdtPr>
              <w:sdtEndPr/>
              <w:sdtContent>
                <w:r w:rsidR="00707920" w:rsidRPr="00EF44B7">
                  <w:rPr>
                    <w:rFonts w:ascii="Arial" w:hAnsi="Arial" w:hint="eastAsia"/>
                    <w:b/>
                    <w:bCs/>
                    <w:noProof w:val="0"/>
                    <w:sz w:val="26"/>
                    <w:szCs w:val="26"/>
                    <w:highlight w:val="yellow"/>
                    <w:rtl/>
                  </w:rPr>
                  <w:t>מספר</w:t>
                </w:r>
                <w:r w:rsidR="00707920" w:rsidRPr="00EF44B7">
                  <w:rPr>
                    <w:rFonts w:ascii="Arial" w:hAnsi="Arial"/>
                    <w:b/>
                    <w:bCs/>
                    <w:noProof w:val="0"/>
                    <w:sz w:val="26"/>
                    <w:szCs w:val="26"/>
                    <w:highlight w:val="yellow"/>
                    <w:rtl/>
                  </w:rPr>
                  <w:t xml:space="preserve"> זיהוי צד ב'</w:t>
                </w:r>
              </w:sdtContent>
            </w:sdt>
          </w:p>
        </w:tc>
      </w:tr>
      <w:tr w:rsidR="00694556" w:rsidRPr="00DE1E7D" w14:paraId="38487EBC" w14:textId="77777777">
        <w:trPr>
          <w:jc w:val="center"/>
        </w:trPr>
        <w:tc>
          <w:tcPr>
            <w:tcW w:w="8820" w:type="dxa"/>
            <w:gridSpan w:val="3"/>
          </w:tcPr>
          <w:p w14:paraId="62A9F706" w14:textId="77777777"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14:paraId="2D768E94" w14:textId="77777777" w:rsidR="00D44968" w:rsidRPr="00D44968" w:rsidRDefault="00D44968" w:rsidP="00D44968">
            <w:pPr>
              <w:bidi w:val="0"/>
              <w:jc w:val="center"/>
              <w:rPr>
                <w:rFonts w:ascii="Arial" w:hAnsi="Arial"/>
                <w:b/>
                <w:bCs/>
                <w:noProof w:val="0"/>
                <w:sz w:val="28"/>
                <w:szCs w:val="28"/>
                <w:u w:val="single"/>
              </w:rPr>
            </w:pPr>
          </w:p>
        </w:tc>
      </w:tr>
    </w:tbl>
    <w:p w14:paraId="47864F9F" w14:textId="7C2D8765" w:rsidR="00707920" w:rsidRDefault="00707920" w:rsidP="00707920">
      <w:pPr>
        <w:pStyle w:val="af4"/>
        <w:suppressLineNumbers/>
        <w:spacing w:line="240" w:lineRule="auto"/>
        <w:rPr>
          <w:rFonts w:ascii="David" w:hAnsi="David" w:cs="David"/>
          <w:b/>
          <w:bCs/>
          <w:sz w:val="24"/>
          <w:szCs w:val="24"/>
          <w:u w:val="single"/>
          <w:rtl/>
        </w:rPr>
      </w:pPr>
      <w:bookmarkStart w:id="1" w:name="NGCSBookmark"/>
      <w:bookmarkEnd w:id="1"/>
    </w:p>
    <w:p w14:paraId="4C7C0FDE" w14:textId="3B332035" w:rsidR="00C80EE1" w:rsidRDefault="006B5497" w:rsidP="006B4727">
      <w:pPr>
        <w:suppressLineNumbers/>
        <w:rPr>
          <w:b/>
          <w:bCs/>
          <w:u w:val="single"/>
          <w:rtl/>
        </w:rPr>
      </w:pPr>
      <w:r>
        <w:rPr>
          <w:rFonts w:hint="cs"/>
          <w:b/>
          <w:bCs/>
          <w:u w:val="single"/>
          <w:rtl/>
        </w:rPr>
        <w:t xml:space="preserve"> </w:t>
      </w:r>
    </w:p>
    <w:p w14:paraId="7812265D" w14:textId="3034B403" w:rsidR="006B4727" w:rsidRDefault="006B4727" w:rsidP="00707920">
      <w:pPr>
        <w:pStyle w:val="af4"/>
        <w:suppressLineNumbers/>
        <w:spacing w:line="240" w:lineRule="auto"/>
        <w:rPr>
          <w:rFonts w:ascii="David" w:hAnsi="David" w:cs="David"/>
          <w:b/>
          <w:bCs/>
          <w:sz w:val="24"/>
          <w:szCs w:val="24"/>
          <w:u w:val="single"/>
          <w:rtl/>
        </w:rPr>
      </w:pPr>
    </w:p>
    <w:p w14:paraId="70EA9A00" w14:textId="77777777" w:rsidR="006B4727" w:rsidRDefault="006B4727" w:rsidP="00707920">
      <w:pPr>
        <w:pStyle w:val="af4"/>
        <w:suppressLineNumbers/>
        <w:spacing w:line="240" w:lineRule="auto"/>
        <w:rPr>
          <w:rFonts w:ascii="David" w:hAnsi="David" w:cs="David"/>
          <w:b/>
          <w:bCs/>
          <w:sz w:val="24"/>
          <w:szCs w:val="24"/>
          <w:u w:val="single"/>
          <w:rtl/>
        </w:rPr>
      </w:pPr>
    </w:p>
    <w:sdt>
      <w:sdtPr>
        <w:rPr>
          <w:rFonts w:ascii="David" w:eastAsia="Times New Roman" w:hAnsi="David" w:cs="David"/>
          <w:noProof/>
          <w:color w:val="auto"/>
          <w:sz w:val="24"/>
          <w:szCs w:val="24"/>
          <w:rtl/>
          <w:lang w:val="he-IL"/>
        </w:rPr>
        <w:id w:val="-2035716833"/>
        <w:docPartObj>
          <w:docPartGallery w:val="Table of Contents"/>
          <w:docPartUnique/>
        </w:docPartObj>
      </w:sdtPr>
      <w:sdtEndPr/>
      <w:sdtContent>
        <w:p w14:paraId="06A95417" w14:textId="77777777" w:rsidR="00707920" w:rsidRDefault="00707920" w:rsidP="006B4727">
          <w:pPr>
            <w:pStyle w:val="af5"/>
            <w:rPr>
              <w:rFonts w:ascii="David" w:hAnsi="David" w:cs="David"/>
              <w:rtl/>
            </w:rPr>
          </w:pPr>
          <w:r>
            <w:rPr>
              <w:rFonts w:ascii="David" w:hAnsi="David" w:cs="David"/>
              <w:rtl/>
              <w:lang w:val="he-IL"/>
            </w:rPr>
            <w:t>תוכן</w:t>
          </w:r>
        </w:p>
        <w:p w14:paraId="290BBB37" w14:textId="24B0334B" w:rsidR="00707920" w:rsidRDefault="00707920" w:rsidP="006B4727">
          <w:pPr>
            <w:pStyle w:val="TOC2"/>
            <w:rPr>
              <w:rFonts w:eastAsiaTheme="minorEastAsia"/>
              <w:noProof/>
            </w:rPr>
          </w:pPr>
          <w:r>
            <w:rPr>
              <w:rFonts w:ascii="David" w:hAnsi="David" w:cs="David"/>
              <w:rtl/>
            </w:rPr>
            <w:fldChar w:fldCharType="begin"/>
          </w:r>
          <w:r>
            <w:rPr>
              <w:rFonts w:ascii="David" w:hAnsi="David" w:cs="David"/>
            </w:rPr>
            <w:instrText xml:space="preserve"> TOC \o "1-3" \h \z \u </w:instrText>
          </w:r>
          <w:r>
            <w:rPr>
              <w:rFonts w:ascii="David" w:hAnsi="David" w:cs="David"/>
              <w:rtl/>
            </w:rPr>
            <w:fldChar w:fldCharType="separate"/>
          </w:r>
          <w:hyperlink w:anchor="_Toc168898749" w:history="1">
            <w:r w:rsidRPr="00163FB7">
              <w:rPr>
                <w:rStyle w:val="Hyperlink"/>
                <w:rFonts w:ascii="David" w:hAnsi="David" w:cs="David"/>
                <w:b/>
                <w:bCs/>
                <w:noProof/>
                <w:rtl/>
              </w:rPr>
              <w:t>א.  מבוא</w:t>
            </w:r>
            <w:r>
              <w:rPr>
                <w:noProof/>
                <w:webHidden/>
              </w:rPr>
              <w:tab/>
            </w:r>
            <w:r>
              <w:rPr>
                <w:rStyle w:val="Hyperlink"/>
                <w:noProof/>
                <w:rtl/>
              </w:rPr>
              <w:fldChar w:fldCharType="begin"/>
            </w:r>
            <w:r>
              <w:rPr>
                <w:noProof/>
                <w:webHidden/>
              </w:rPr>
              <w:instrText xml:space="preserve"> PAGEREF _Toc168898749 \h </w:instrText>
            </w:r>
            <w:r>
              <w:rPr>
                <w:rStyle w:val="Hyperlink"/>
                <w:noProof/>
                <w:rtl/>
              </w:rPr>
            </w:r>
            <w:r>
              <w:rPr>
                <w:rStyle w:val="Hyperlink"/>
                <w:noProof/>
                <w:rtl/>
              </w:rPr>
              <w:fldChar w:fldCharType="separate"/>
            </w:r>
            <w:r w:rsidR="000A461F">
              <w:rPr>
                <w:noProof/>
                <w:webHidden/>
                <w:rtl/>
              </w:rPr>
              <w:t>2</w:t>
            </w:r>
            <w:r>
              <w:rPr>
                <w:rStyle w:val="Hyperlink"/>
                <w:noProof/>
                <w:rtl/>
              </w:rPr>
              <w:fldChar w:fldCharType="end"/>
            </w:r>
          </w:hyperlink>
        </w:p>
        <w:p w14:paraId="421A040C" w14:textId="6B38B00A" w:rsidR="00707920" w:rsidRDefault="00AB7D7F" w:rsidP="006B4727">
          <w:pPr>
            <w:pStyle w:val="TOC2"/>
            <w:rPr>
              <w:rFonts w:eastAsiaTheme="minorEastAsia"/>
              <w:noProof/>
            </w:rPr>
          </w:pPr>
          <w:hyperlink w:anchor="_Toc168898750" w:history="1">
            <w:r w:rsidR="00707920" w:rsidRPr="00163FB7">
              <w:rPr>
                <w:rStyle w:val="Hyperlink"/>
                <w:rFonts w:ascii="David" w:hAnsi="David" w:cs="David"/>
                <w:b/>
                <w:bCs/>
                <w:noProof/>
                <w:rtl/>
              </w:rPr>
              <w:t>ב. הרקע  העובדתי הנוגע להליך החדל"פ ושרטוט מפת ההליכים שבהם התנהלו</w:t>
            </w:r>
            <w:r w:rsidR="00707920" w:rsidRPr="00163FB7">
              <w:rPr>
                <w:rStyle w:val="Hyperlink"/>
                <w:rFonts w:ascii="David" w:hAnsi="David" w:cs="David"/>
                <w:b/>
                <w:bCs/>
                <w:noProof/>
              </w:rPr>
              <w:t xml:space="preserve"> </w:t>
            </w:r>
            <w:r w:rsidR="00707920" w:rsidRPr="00163FB7">
              <w:rPr>
                <w:rStyle w:val="Hyperlink"/>
                <w:rFonts w:ascii="David" w:hAnsi="David" w:cs="David"/>
                <w:b/>
                <w:bCs/>
                <w:noProof/>
                <w:rtl/>
              </w:rPr>
              <w:t>היחיד והגרושות בקשר עם הנכס</w:t>
            </w:r>
            <w:r w:rsidR="00707920">
              <w:rPr>
                <w:noProof/>
                <w:webHidden/>
              </w:rPr>
              <w:tab/>
            </w:r>
            <w:r w:rsidR="00707920">
              <w:rPr>
                <w:rStyle w:val="Hyperlink"/>
                <w:noProof/>
                <w:rtl/>
              </w:rPr>
              <w:fldChar w:fldCharType="begin"/>
            </w:r>
            <w:r w:rsidR="00707920">
              <w:rPr>
                <w:noProof/>
                <w:webHidden/>
              </w:rPr>
              <w:instrText xml:space="preserve"> PAGEREF _Toc168898750 \h </w:instrText>
            </w:r>
            <w:r w:rsidR="00707920">
              <w:rPr>
                <w:rStyle w:val="Hyperlink"/>
                <w:noProof/>
                <w:rtl/>
              </w:rPr>
            </w:r>
            <w:r w:rsidR="00707920">
              <w:rPr>
                <w:rStyle w:val="Hyperlink"/>
                <w:noProof/>
                <w:rtl/>
              </w:rPr>
              <w:fldChar w:fldCharType="separate"/>
            </w:r>
            <w:r w:rsidR="000A461F">
              <w:rPr>
                <w:noProof/>
                <w:webHidden/>
                <w:rtl/>
              </w:rPr>
              <w:t>3</w:t>
            </w:r>
            <w:r w:rsidR="00707920">
              <w:rPr>
                <w:rStyle w:val="Hyperlink"/>
                <w:noProof/>
                <w:rtl/>
              </w:rPr>
              <w:fldChar w:fldCharType="end"/>
            </w:r>
          </w:hyperlink>
        </w:p>
        <w:p w14:paraId="7B1A1CBE" w14:textId="6AAABC36" w:rsidR="00707920" w:rsidRDefault="00AB7D7F" w:rsidP="006B4727">
          <w:pPr>
            <w:pStyle w:val="TOC3"/>
            <w:rPr>
              <w:rFonts w:eastAsiaTheme="minorEastAsia"/>
              <w:noProof/>
            </w:rPr>
          </w:pPr>
          <w:hyperlink w:anchor="_Toc168898751" w:history="1">
            <w:r w:rsidR="00707920" w:rsidRPr="00163FB7">
              <w:rPr>
                <w:rStyle w:val="Hyperlink"/>
                <w:rFonts w:ascii="David" w:hAnsi="David" w:cs="David"/>
                <w:noProof/>
                <w:rtl/>
              </w:rPr>
              <w:t>ב(1) הרקע הנוגע להליך החדל"פ</w:t>
            </w:r>
            <w:r w:rsidR="00707920">
              <w:rPr>
                <w:noProof/>
                <w:webHidden/>
              </w:rPr>
              <w:tab/>
            </w:r>
            <w:r w:rsidR="00707920">
              <w:rPr>
                <w:rStyle w:val="Hyperlink"/>
                <w:noProof/>
                <w:rtl/>
              </w:rPr>
              <w:fldChar w:fldCharType="begin"/>
            </w:r>
            <w:r w:rsidR="00707920">
              <w:rPr>
                <w:noProof/>
                <w:webHidden/>
              </w:rPr>
              <w:instrText xml:space="preserve"> PAGEREF _Toc168898751 \h </w:instrText>
            </w:r>
            <w:r w:rsidR="00707920">
              <w:rPr>
                <w:rStyle w:val="Hyperlink"/>
                <w:noProof/>
                <w:rtl/>
              </w:rPr>
            </w:r>
            <w:r w:rsidR="00707920">
              <w:rPr>
                <w:rStyle w:val="Hyperlink"/>
                <w:noProof/>
                <w:rtl/>
              </w:rPr>
              <w:fldChar w:fldCharType="separate"/>
            </w:r>
            <w:r w:rsidR="000A461F">
              <w:rPr>
                <w:noProof/>
                <w:webHidden/>
                <w:rtl/>
              </w:rPr>
              <w:t>3</w:t>
            </w:r>
            <w:r w:rsidR="00707920">
              <w:rPr>
                <w:rStyle w:val="Hyperlink"/>
                <w:noProof/>
                <w:rtl/>
              </w:rPr>
              <w:fldChar w:fldCharType="end"/>
            </w:r>
          </w:hyperlink>
        </w:p>
        <w:p w14:paraId="33CDA3CE" w14:textId="35BE4F4E" w:rsidR="00707920" w:rsidRDefault="00AB7D7F" w:rsidP="006B4727">
          <w:pPr>
            <w:pStyle w:val="TOC3"/>
            <w:rPr>
              <w:rFonts w:eastAsiaTheme="minorEastAsia"/>
              <w:noProof/>
            </w:rPr>
          </w:pPr>
          <w:hyperlink w:anchor="_Toc168898752" w:history="1">
            <w:r w:rsidR="00707920" w:rsidRPr="00163FB7">
              <w:rPr>
                <w:rStyle w:val="Hyperlink"/>
                <w:rFonts w:ascii="David" w:hAnsi="David" w:cs="David"/>
                <w:noProof/>
                <w:rtl/>
              </w:rPr>
              <w:t>ב(2) רישום הזכויות בנכס ברמ"י והליכים שהיו לגביו מצד הגרושה הראשונה אך גם ההליכים שהיו לגביו מצד הגרושה השניה וההכרעות שנתנו בגדרם</w:t>
            </w:r>
            <w:r w:rsidR="00707920">
              <w:rPr>
                <w:noProof/>
                <w:webHidden/>
              </w:rPr>
              <w:tab/>
            </w:r>
            <w:r w:rsidR="00707920">
              <w:rPr>
                <w:rStyle w:val="Hyperlink"/>
                <w:noProof/>
                <w:rtl/>
              </w:rPr>
              <w:fldChar w:fldCharType="begin"/>
            </w:r>
            <w:r w:rsidR="00707920">
              <w:rPr>
                <w:noProof/>
                <w:webHidden/>
              </w:rPr>
              <w:instrText xml:space="preserve"> PAGEREF _Toc168898752 \h </w:instrText>
            </w:r>
            <w:r w:rsidR="00707920">
              <w:rPr>
                <w:rStyle w:val="Hyperlink"/>
                <w:noProof/>
                <w:rtl/>
              </w:rPr>
            </w:r>
            <w:r w:rsidR="00707920">
              <w:rPr>
                <w:rStyle w:val="Hyperlink"/>
                <w:noProof/>
                <w:rtl/>
              </w:rPr>
              <w:fldChar w:fldCharType="separate"/>
            </w:r>
            <w:r w:rsidR="000A461F">
              <w:rPr>
                <w:noProof/>
                <w:webHidden/>
                <w:rtl/>
              </w:rPr>
              <w:t>3</w:t>
            </w:r>
            <w:r w:rsidR="00707920">
              <w:rPr>
                <w:rStyle w:val="Hyperlink"/>
                <w:noProof/>
                <w:rtl/>
              </w:rPr>
              <w:fldChar w:fldCharType="end"/>
            </w:r>
          </w:hyperlink>
        </w:p>
        <w:p w14:paraId="7311D632" w14:textId="2E2D8BF6" w:rsidR="00707920" w:rsidRDefault="00AB7D7F" w:rsidP="006B4727">
          <w:pPr>
            <w:pStyle w:val="TOC3"/>
            <w:rPr>
              <w:rFonts w:eastAsiaTheme="minorEastAsia"/>
              <w:noProof/>
            </w:rPr>
          </w:pPr>
          <w:hyperlink w:anchor="_Toc168898753" w:history="1">
            <w:r w:rsidR="00707920" w:rsidRPr="00163FB7">
              <w:rPr>
                <w:rStyle w:val="Hyperlink"/>
                <w:rFonts w:ascii="David" w:hAnsi="David" w:cs="David"/>
                <w:noProof/>
                <w:rtl/>
              </w:rPr>
              <w:t>ב(3) לבקשת הגרושה הראשונה הוטל בהוצל"פ עיקול על הזכויות של היחיד בנכס</w:t>
            </w:r>
            <w:r w:rsidR="00707920">
              <w:rPr>
                <w:noProof/>
                <w:webHidden/>
              </w:rPr>
              <w:tab/>
            </w:r>
            <w:r w:rsidR="00707920">
              <w:rPr>
                <w:rStyle w:val="Hyperlink"/>
                <w:noProof/>
                <w:rtl/>
              </w:rPr>
              <w:fldChar w:fldCharType="begin"/>
            </w:r>
            <w:r w:rsidR="00707920">
              <w:rPr>
                <w:noProof/>
                <w:webHidden/>
              </w:rPr>
              <w:instrText xml:space="preserve"> PAGEREF _Toc168898753 \h </w:instrText>
            </w:r>
            <w:r w:rsidR="00707920">
              <w:rPr>
                <w:rStyle w:val="Hyperlink"/>
                <w:noProof/>
                <w:rtl/>
              </w:rPr>
            </w:r>
            <w:r w:rsidR="00707920">
              <w:rPr>
                <w:rStyle w:val="Hyperlink"/>
                <w:noProof/>
                <w:rtl/>
              </w:rPr>
              <w:fldChar w:fldCharType="separate"/>
            </w:r>
            <w:r w:rsidR="000A461F">
              <w:rPr>
                <w:noProof/>
                <w:webHidden/>
                <w:rtl/>
              </w:rPr>
              <w:t>3</w:t>
            </w:r>
            <w:r w:rsidR="00707920">
              <w:rPr>
                <w:rStyle w:val="Hyperlink"/>
                <w:noProof/>
                <w:rtl/>
              </w:rPr>
              <w:fldChar w:fldCharType="end"/>
            </w:r>
          </w:hyperlink>
        </w:p>
        <w:p w14:paraId="0E533D7E" w14:textId="40492D42" w:rsidR="00707920" w:rsidRDefault="00AB7D7F" w:rsidP="006B4727">
          <w:pPr>
            <w:pStyle w:val="TOC3"/>
            <w:rPr>
              <w:rFonts w:eastAsiaTheme="minorEastAsia"/>
              <w:noProof/>
            </w:rPr>
          </w:pPr>
          <w:hyperlink w:anchor="_Toc168898754" w:history="1">
            <w:r w:rsidR="00707920" w:rsidRPr="00163FB7">
              <w:rPr>
                <w:rStyle w:val="Hyperlink"/>
                <w:rFonts w:ascii="David" w:hAnsi="David" w:cs="David"/>
                <w:noProof/>
                <w:rtl/>
              </w:rPr>
              <w:t>ב(4) הליך בוררות שהתנהל שבין היחיד לבין הגרושה השניה</w:t>
            </w:r>
            <w:r w:rsidR="00707920">
              <w:rPr>
                <w:noProof/>
                <w:webHidden/>
              </w:rPr>
              <w:tab/>
            </w:r>
            <w:r w:rsidR="00707920">
              <w:rPr>
                <w:rStyle w:val="Hyperlink"/>
                <w:noProof/>
                <w:rtl/>
              </w:rPr>
              <w:fldChar w:fldCharType="begin"/>
            </w:r>
            <w:r w:rsidR="00707920">
              <w:rPr>
                <w:noProof/>
                <w:webHidden/>
              </w:rPr>
              <w:instrText xml:space="preserve"> PAGEREF _Toc168898754 \h </w:instrText>
            </w:r>
            <w:r w:rsidR="00707920">
              <w:rPr>
                <w:rStyle w:val="Hyperlink"/>
                <w:noProof/>
                <w:rtl/>
              </w:rPr>
            </w:r>
            <w:r w:rsidR="00707920">
              <w:rPr>
                <w:rStyle w:val="Hyperlink"/>
                <w:noProof/>
                <w:rtl/>
              </w:rPr>
              <w:fldChar w:fldCharType="separate"/>
            </w:r>
            <w:r w:rsidR="000A461F">
              <w:rPr>
                <w:noProof/>
                <w:webHidden/>
                <w:rtl/>
              </w:rPr>
              <w:t>4</w:t>
            </w:r>
            <w:r w:rsidR="00707920">
              <w:rPr>
                <w:rStyle w:val="Hyperlink"/>
                <w:noProof/>
                <w:rtl/>
              </w:rPr>
              <w:fldChar w:fldCharType="end"/>
            </w:r>
          </w:hyperlink>
        </w:p>
        <w:p w14:paraId="2A6AD208" w14:textId="5B2617B9" w:rsidR="00707920" w:rsidRDefault="00AB7D7F" w:rsidP="006B4727">
          <w:pPr>
            <w:pStyle w:val="TOC3"/>
            <w:rPr>
              <w:rFonts w:eastAsiaTheme="minorEastAsia"/>
              <w:noProof/>
            </w:rPr>
          </w:pPr>
          <w:hyperlink w:anchor="_Toc168898755" w:history="1">
            <w:r w:rsidR="00707920" w:rsidRPr="00163FB7">
              <w:rPr>
                <w:rStyle w:val="Hyperlink"/>
                <w:rFonts w:ascii="David" w:hAnsi="David" w:cs="David"/>
                <w:noProof/>
                <w:rtl/>
              </w:rPr>
              <w:t>ב(5) המרצת הפתיחה 14485-05-14 שהגישה הגרושה הראשונה לבית המשפט לעניני משפחה לאחר הליך הבורות מול הגרושה השניה</w:t>
            </w:r>
            <w:r w:rsidR="00707920">
              <w:rPr>
                <w:noProof/>
                <w:webHidden/>
              </w:rPr>
              <w:tab/>
            </w:r>
            <w:r w:rsidR="00707920">
              <w:rPr>
                <w:rStyle w:val="Hyperlink"/>
                <w:noProof/>
                <w:rtl/>
              </w:rPr>
              <w:fldChar w:fldCharType="begin"/>
            </w:r>
            <w:r w:rsidR="00707920">
              <w:rPr>
                <w:noProof/>
                <w:webHidden/>
              </w:rPr>
              <w:instrText xml:space="preserve"> PAGEREF _Toc168898755 \h </w:instrText>
            </w:r>
            <w:r w:rsidR="00707920">
              <w:rPr>
                <w:rStyle w:val="Hyperlink"/>
                <w:noProof/>
                <w:rtl/>
              </w:rPr>
            </w:r>
            <w:r w:rsidR="00707920">
              <w:rPr>
                <w:rStyle w:val="Hyperlink"/>
                <w:noProof/>
                <w:rtl/>
              </w:rPr>
              <w:fldChar w:fldCharType="separate"/>
            </w:r>
            <w:r w:rsidR="000A461F">
              <w:rPr>
                <w:noProof/>
                <w:webHidden/>
                <w:rtl/>
              </w:rPr>
              <w:t>4</w:t>
            </w:r>
            <w:r w:rsidR="00707920">
              <w:rPr>
                <w:rStyle w:val="Hyperlink"/>
                <w:noProof/>
                <w:rtl/>
              </w:rPr>
              <w:fldChar w:fldCharType="end"/>
            </w:r>
          </w:hyperlink>
        </w:p>
        <w:p w14:paraId="5F084CC7" w14:textId="034FD605" w:rsidR="00707920" w:rsidRDefault="00AB7D7F" w:rsidP="006B4727">
          <w:pPr>
            <w:pStyle w:val="TOC3"/>
            <w:rPr>
              <w:rFonts w:eastAsiaTheme="minorEastAsia"/>
              <w:noProof/>
            </w:rPr>
          </w:pPr>
          <w:hyperlink w:anchor="_Toc168898756" w:history="1">
            <w:r w:rsidR="00707920" w:rsidRPr="00163FB7">
              <w:rPr>
                <w:rStyle w:val="Hyperlink"/>
                <w:rFonts w:ascii="David" w:hAnsi="David" w:cs="David"/>
                <w:noProof/>
                <w:rtl/>
              </w:rPr>
              <w:t>ב(6) המרצת פתיחה 68985-05-18 שהגישה הגרושה השניה לביהמ"ש המחוזי מרכז לרישום מלוא הזכויות בנכס על שם הגרושה השנייה (וזאת למרות העיקול בהליך שרמ"י הייתה צד לו אך לא הגרושה הראשונה).</w:t>
            </w:r>
            <w:r w:rsidR="00707920">
              <w:rPr>
                <w:noProof/>
                <w:webHidden/>
              </w:rPr>
              <w:tab/>
            </w:r>
            <w:r w:rsidR="00707920">
              <w:rPr>
                <w:rStyle w:val="Hyperlink"/>
                <w:noProof/>
                <w:rtl/>
              </w:rPr>
              <w:fldChar w:fldCharType="begin"/>
            </w:r>
            <w:r w:rsidR="00707920">
              <w:rPr>
                <w:noProof/>
                <w:webHidden/>
              </w:rPr>
              <w:instrText xml:space="preserve"> PAGEREF _Toc168898756 \h </w:instrText>
            </w:r>
            <w:r w:rsidR="00707920">
              <w:rPr>
                <w:rStyle w:val="Hyperlink"/>
                <w:noProof/>
                <w:rtl/>
              </w:rPr>
            </w:r>
            <w:r w:rsidR="00707920">
              <w:rPr>
                <w:rStyle w:val="Hyperlink"/>
                <w:noProof/>
                <w:rtl/>
              </w:rPr>
              <w:fldChar w:fldCharType="separate"/>
            </w:r>
            <w:r w:rsidR="000A461F">
              <w:rPr>
                <w:noProof/>
                <w:webHidden/>
                <w:rtl/>
              </w:rPr>
              <w:t>4</w:t>
            </w:r>
            <w:r w:rsidR="00707920">
              <w:rPr>
                <w:rStyle w:val="Hyperlink"/>
                <w:noProof/>
                <w:rtl/>
              </w:rPr>
              <w:fldChar w:fldCharType="end"/>
            </w:r>
          </w:hyperlink>
        </w:p>
        <w:p w14:paraId="5C766042" w14:textId="2241163A" w:rsidR="00707920" w:rsidRDefault="00AB7D7F" w:rsidP="006B4727">
          <w:pPr>
            <w:pStyle w:val="TOC3"/>
            <w:rPr>
              <w:rFonts w:eastAsiaTheme="minorEastAsia"/>
              <w:noProof/>
            </w:rPr>
          </w:pPr>
          <w:hyperlink w:anchor="_Toc168898757" w:history="1">
            <w:r w:rsidR="00707920" w:rsidRPr="00163FB7">
              <w:rPr>
                <w:rStyle w:val="Hyperlink"/>
                <w:rFonts w:ascii="David" w:hAnsi="David" w:cs="David"/>
                <w:noProof/>
                <w:rtl/>
              </w:rPr>
              <w:t>ב(7) בקשת הנאמן היא לפירוק שיתוף למרות שפסק הדין הורה על רישום הזכות וזאת לנוכח העיקול כי הזכות כשלעצמה טרם רשומה</w:t>
            </w:r>
            <w:r w:rsidR="00707920">
              <w:rPr>
                <w:noProof/>
                <w:webHidden/>
              </w:rPr>
              <w:tab/>
            </w:r>
            <w:r w:rsidR="00707920">
              <w:rPr>
                <w:rStyle w:val="Hyperlink"/>
                <w:noProof/>
                <w:rtl/>
              </w:rPr>
              <w:fldChar w:fldCharType="begin"/>
            </w:r>
            <w:r w:rsidR="00707920">
              <w:rPr>
                <w:noProof/>
                <w:webHidden/>
              </w:rPr>
              <w:instrText xml:space="preserve"> PAGEREF _Toc168898757 \h </w:instrText>
            </w:r>
            <w:r w:rsidR="00707920">
              <w:rPr>
                <w:rStyle w:val="Hyperlink"/>
                <w:noProof/>
                <w:rtl/>
              </w:rPr>
            </w:r>
            <w:r w:rsidR="00707920">
              <w:rPr>
                <w:rStyle w:val="Hyperlink"/>
                <w:noProof/>
                <w:rtl/>
              </w:rPr>
              <w:fldChar w:fldCharType="separate"/>
            </w:r>
            <w:r w:rsidR="000A461F">
              <w:rPr>
                <w:noProof/>
                <w:webHidden/>
                <w:rtl/>
              </w:rPr>
              <w:t>5</w:t>
            </w:r>
            <w:r w:rsidR="00707920">
              <w:rPr>
                <w:rStyle w:val="Hyperlink"/>
                <w:noProof/>
                <w:rtl/>
              </w:rPr>
              <w:fldChar w:fldCharType="end"/>
            </w:r>
          </w:hyperlink>
        </w:p>
        <w:p w14:paraId="4457A861" w14:textId="2D8A5458" w:rsidR="00707920" w:rsidRDefault="00AB7D7F" w:rsidP="006B4727">
          <w:pPr>
            <w:pStyle w:val="TOC2"/>
            <w:rPr>
              <w:rFonts w:eastAsiaTheme="minorEastAsia"/>
              <w:noProof/>
            </w:rPr>
          </w:pPr>
          <w:hyperlink w:anchor="_Toc168898758" w:history="1">
            <w:r w:rsidR="00707920" w:rsidRPr="00163FB7">
              <w:rPr>
                <w:rStyle w:val="Hyperlink"/>
                <w:rFonts w:ascii="David" w:hAnsi="David" w:cs="David"/>
                <w:b/>
                <w:bCs/>
                <w:noProof/>
                <w:rtl/>
              </w:rPr>
              <w:t>ג. תמצית הטענות העיקריות</w:t>
            </w:r>
            <w:r w:rsidR="00707920">
              <w:rPr>
                <w:noProof/>
                <w:webHidden/>
              </w:rPr>
              <w:tab/>
            </w:r>
            <w:r w:rsidR="00707920">
              <w:rPr>
                <w:rStyle w:val="Hyperlink"/>
                <w:noProof/>
                <w:rtl/>
              </w:rPr>
              <w:fldChar w:fldCharType="begin"/>
            </w:r>
            <w:r w:rsidR="00707920">
              <w:rPr>
                <w:noProof/>
                <w:webHidden/>
              </w:rPr>
              <w:instrText xml:space="preserve"> PAGEREF _Toc168898758 \h </w:instrText>
            </w:r>
            <w:r w:rsidR="00707920">
              <w:rPr>
                <w:rStyle w:val="Hyperlink"/>
                <w:noProof/>
                <w:rtl/>
              </w:rPr>
            </w:r>
            <w:r w:rsidR="00707920">
              <w:rPr>
                <w:rStyle w:val="Hyperlink"/>
                <w:noProof/>
                <w:rtl/>
              </w:rPr>
              <w:fldChar w:fldCharType="separate"/>
            </w:r>
            <w:r w:rsidR="000A461F">
              <w:rPr>
                <w:noProof/>
                <w:webHidden/>
                <w:rtl/>
              </w:rPr>
              <w:t>5</w:t>
            </w:r>
            <w:r w:rsidR="00707920">
              <w:rPr>
                <w:rStyle w:val="Hyperlink"/>
                <w:noProof/>
                <w:rtl/>
              </w:rPr>
              <w:fldChar w:fldCharType="end"/>
            </w:r>
          </w:hyperlink>
        </w:p>
        <w:p w14:paraId="71E37A5C" w14:textId="43771DE3" w:rsidR="00707920" w:rsidRDefault="00AB7D7F" w:rsidP="006B4727">
          <w:pPr>
            <w:pStyle w:val="TOC3"/>
            <w:rPr>
              <w:rFonts w:eastAsiaTheme="minorEastAsia"/>
              <w:noProof/>
            </w:rPr>
          </w:pPr>
          <w:hyperlink w:anchor="_Toc168898759" w:history="1">
            <w:r w:rsidR="00707920" w:rsidRPr="00163FB7">
              <w:rPr>
                <w:rStyle w:val="Hyperlink"/>
                <w:rFonts w:ascii="David" w:hAnsi="David" w:cs="David"/>
                <w:noProof/>
                <w:rtl/>
              </w:rPr>
              <w:t>ג(1) תמצית טענות הנאמן המבקש פירוק שיתוף</w:t>
            </w:r>
            <w:r w:rsidR="00707920" w:rsidRPr="00163FB7">
              <w:rPr>
                <w:rStyle w:val="Hyperlink"/>
                <w:rFonts w:ascii="David" w:hAnsi="David" w:cs="David"/>
                <w:noProof/>
              </w:rPr>
              <w:t xml:space="preserve"> </w:t>
            </w:r>
            <w:r w:rsidR="00707920" w:rsidRPr="00163FB7">
              <w:rPr>
                <w:rStyle w:val="Hyperlink"/>
                <w:rFonts w:ascii="David" w:hAnsi="David" w:cs="David"/>
                <w:noProof/>
                <w:rtl/>
              </w:rPr>
              <w:t>אך לא את ביטול פסק הבורר או את ביטול גריעת הנכס מקופת הנשיה</w:t>
            </w:r>
            <w:r w:rsidR="00707920">
              <w:rPr>
                <w:noProof/>
                <w:webHidden/>
              </w:rPr>
              <w:tab/>
            </w:r>
            <w:r w:rsidR="00707920">
              <w:rPr>
                <w:rStyle w:val="Hyperlink"/>
                <w:noProof/>
                <w:rtl/>
              </w:rPr>
              <w:fldChar w:fldCharType="begin"/>
            </w:r>
            <w:r w:rsidR="00707920">
              <w:rPr>
                <w:noProof/>
                <w:webHidden/>
              </w:rPr>
              <w:instrText xml:space="preserve"> PAGEREF _Toc168898759 \h </w:instrText>
            </w:r>
            <w:r w:rsidR="00707920">
              <w:rPr>
                <w:rStyle w:val="Hyperlink"/>
                <w:noProof/>
                <w:rtl/>
              </w:rPr>
            </w:r>
            <w:r w:rsidR="00707920">
              <w:rPr>
                <w:rStyle w:val="Hyperlink"/>
                <w:noProof/>
                <w:rtl/>
              </w:rPr>
              <w:fldChar w:fldCharType="separate"/>
            </w:r>
            <w:r w:rsidR="000A461F">
              <w:rPr>
                <w:noProof/>
                <w:webHidden/>
                <w:rtl/>
              </w:rPr>
              <w:t>5</w:t>
            </w:r>
            <w:r w:rsidR="00707920">
              <w:rPr>
                <w:rStyle w:val="Hyperlink"/>
                <w:noProof/>
                <w:rtl/>
              </w:rPr>
              <w:fldChar w:fldCharType="end"/>
            </w:r>
          </w:hyperlink>
        </w:p>
        <w:p w14:paraId="3EDA158E" w14:textId="3B834293" w:rsidR="00707920" w:rsidRDefault="00AB7D7F" w:rsidP="006B4727">
          <w:pPr>
            <w:pStyle w:val="TOC3"/>
            <w:rPr>
              <w:rFonts w:eastAsiaTheme="minorEastAsia"/>
              <w:noProof/>
            </w:rPr>
          </w:pPr>
          <w:hyperlink w:anchor="_Toc168898760" w:history="1">
            <w:r w:rsidR="00707920" w:rsidRPr="00163FB7">
              <w:rPr>
                <w:rStyle w:val="Hyperlink"/>
                <w:rFonts w:ascii="David" w:hAnsi="David" w:cs="David"/>
                <w:noProof/>
                <w:rtl/>
              </w:rPr>
              <w:t>ג(2) התנגדות היחיד והגרושה השניה לפירוק השיתוף</w:t>
            </w:r>
            <w:r w:rsidR="00707920">
              <w:rPr>
                <w:noProof/>
                <w:webHidden/>
              </w:rPr>
              <w:tab/>
            </w:r>
            <w:r w:rsidR="00707920">
              <w:rPr>
                <w:rStyle w:val="Hyperlink"/>
                <w:noProof/>
                <w:rtl/>
              </w:rPr>
              <w:fldChar w:fldCharType="begin"/>
            </w:r>
            <w:r w:rsidR="00707920">
              <w:rPr>
                <w:noProof/>
                <w:webHidden/>
              </w:rPr>
              <w:instrText xml:space="preserve"> PAGEREF _Toc168898760 \h </w:instrText>
            </w:r>
            <w:r w:rsidR="00707920">
              <w:rPr>
                <w:rStyle w:val="Hyperlink"/>
                <w:noProof/>
                <w:rtl/>
              </w:rPr>
            </w:r>
            <w:r w:rsidR="00707920">
              <w:rPr>
                <w:rStyle w:val="Hyperlink"/>
                <w:noProof/>
                <w:rtl/>
              </w:rPr>
              <w:fldChar w:fldCharType="separate"/>
            </w:r>
            <w:r w:rsidR="000A461F">
              <w:rPr>
                <w:noProof/>
                <w:webHidden/>
                <w:rtl/>
              </w:rPr>
              <w:t>6</w:t>
            </w:r>
            <w:r w:rsidR="00707920">
              <w:rPr>
                <w:rStyle w:val="Hyperlink"/>
                <w:noProof/>
                <w:rtl/>
              </w:rPr>
              <w:fldChar w:fldCharType="end"/>
            </w:r>
          </w:hyperlink>
        </w:p>
        <w:p w14:paraId="4F79C56C" w14:textId="42E4768E" w:rsidR="00707920" w:rsidRDefault="00AB7D7F" w:rsidP="006B4727">
          <w:pPr>
            <w:pStyle w:val="TOC3"/>
            <w:rPr>
              <w:rFonts w:eastAsiaTheme="minorEastAsia"/>
              <w:noProof/>
            </w:rPr>
          </w:pPr>
          <w:hyperlink w:anchor="_Toc168898761" w:history="1">
            <w:r w:rsidR="00707920" w:rsidRPr="00163FB7">
              <w:rPr>
                <w:rStyle w:val="Hyperlink"/>
                <w:rFonts w:ascii="David" w:hAnsi="David" w:cs="David"/>
                <w:noProof/>
                <w:rtl/>
              </w:rPr>
              <w:t>תמצית טענות היחיד</w:t>
            </w:r>
            <w:r w:rsidR="00707920">
              <w:rPr>
                <w:noProof/>
                <w:webHidden/>
              </w:rPr>
              <w:tab/>
            </w:r>
            <w:r w:rsidR="00707920">
              <w:rPr>
                <w:rStyle w:val="Hyperlink"/>
                <w:noProof/>
                <w:rtl/>
              </w:rPr>
              <w:fldChar w:fldCharType="begin"/>
            </w:r>
            <w:r w:rsidR="00707920">
              <w:rPr>
                <w:noProof/>
                <w:webHidden/>
              </w:rPr>
              <w:instrText xml:space="preserve"> PAGEREF _Toc168898761 \h </w:instrText>
            </w:r>
            <w:r w:rsidR="00707920">
              <w:rPr>
                <w:rStyle w:val="Hyperlink"/>
                <w:noProof/>
                <w:rtl/>
              </w:rPr>
            </w:r>
            <w:r w:rsidR="00707920">
              <w:rPr>
                <w:rStyle w:val="Hyperlink"/>
                <w:noProof/>
                <w:rtl/>
              </w:rPr>
              <w:fldChar w:fldCharType="separate"/>
            </w:r>
            <w:r w:rsidR="000A461F">
              <w:rPr>
                <w:noProof/>
                <w:webHidden/>
                <w:rtl/>
              </w:rPr>
              <w:t>6</w:t>
            </w:r>
            <w:r w:rsidR="00707920">
              <w:rPr>
                <w:rStyle w:val="Hyperlink"/>
                <w:noProof/>
                <w:rtl/>
              </w:rPr>
              <w:fldChar w:fldCharType="end"/>
            </w:r>
          </w:hyperlink>
        </w:p>
        <w:p w14:paraId="0D979C1A" w14:textId="2FA57568" w:rsidR="00707920" w:rsidRDefault="00AB7D7F" w:rsidP="006B4727">
          <w:pPr>
            <w:pStyle w:val="TOC3"/>
            <w:rPr>
              <w:rFonts w:eastAsiaTheme="minorEastAsia"/>
              <w:noProof/>
            </w:rPr>
          </w:pPr>
          <w:hyperlink w:anchor="_Toc168898762" w:history="1">
            <w:r w:rsidR="00707920" w:rsidRPr="00163FB7">
              <w:rPr>
                <w:rStyle w:val="Hyperlink"/>
                <w:rFonts w:ascii="David" w:hAnsi="David" w:cs="David"/>
                <w:noProof/>
                <w:rtl/>
              </w:rPr>
              <w:t>תמצית טענות הגרושה  השנייה</w:t>
            </w:r>
            <w:r w:rsidR="00707920">
              <w:rPr>
                <w:noProof/>
                <w:webHidden/>
              </w:rPr>
              <w:tab/>
            </w:r>
            <w:r w:rsidR="00707920">
              <w:rPr>
                <w:rStyle w:val="Hyperlink"/>
                <w:noProof/>
                <w:rtl/>
              </w:rPr>
              <w:fldChar w:fldCharType="begin"/>
            </w:r>
            <w:r w:rsidR="00707920">
              <w:rPr>
                <w:noProof/>
                <w:webHidden/>
              </w:rPr>
              <w:instrText xml:space="preserve"> PAGEREF _Toc168898762 \h </w:instrText>
            </w:r>
            <w:r w:rsidR="00707920">
              <w:rPr>
                <w:rStyle w:val="Hyperlink"/>
                <w:noProof/>
                <w:rtl/>
              </w:rPr>
            </w:r>
            <w:r w:rsidR="00707920">
              <w:rPr>
                <w:rStyle w:val="Hyperlink"/>
                <w:noProof/>
                <w:rtl/>
              </w:rPr>
              <w:fldChar w:fldCharType="separate"/>
            </w:r>
            <w:r w:rsidR="000A461F">
              <w:rPr>
                <w:noProof/>
                <w:webHidden/>
                <w:rtl/>
              </w:rPr>
              <w:t>7</w:t>
            </w:r>
            <w:r w:rsidR="00707920">
              <w:rPr>
                <w:rStyle w:val="Hyperlink"/>
                <w:noProof/>
                <w:rtl/>
              </w:rPr>
              <w:fldChar w:fldCharType="end"/>
            </w:r>
          </w:hyperlink>
        </w:p>
        <w:p w14:paraId="0C4C3916" w14:textId="11DBF66B" w:rsidR="00707920" w:rsidRDefault="00AB7D7F" w:rsidP="006B4727">
          <w:pPr>
            <w:pStyle w:val="TOC3"/>
            <w:rPr>
              <w:rFonts w:eastAsiaTheme="minorEastAsia"/>
              <w:noProof/>
            </w:rPr>
          </w:pPr>
          <w:hyperlink w:anchor="_Toc168898763" w:history="1">
            <w:r w:rsidR="00707920" w:rsidRPr="00163FB7">
              <w:rPr>
                <w:rStyle w:val="Hyperlink"/>
                <w:rFonts w:ascii="David" w:hAnsi="David" w:cs="David"/>
                <w:noProof/>
                <w:rtl/>
              </w:rPr>
              <w:t>ג(3) תשובת הנאמן  להתנגדות היחיד והגרושה</w:t>
            </w:r>
            <w:r w:rsidR="00707920" w:rsidRPr="00163FB7">
              <w:rPr>
                <w:rStyle w:val="Hyperlink"/>
                <w:rFonts w:ascii="David" w:hAnsi="David" w:cs="David"/>
                <w:noProof/>
              </w:rPr>
              <w:t xml:space="preserve"> </w:t>
            </w:r>
            <w:r w:rsidR="00707920" w:rsidRPr="00163FB7">
              <w:rPr>
                <w:rStyle w:val="Hyperlink"/>
                <w:rFonts w:ascii="David" w:hAnsi="David" w:cs="David"/>
                <w:noProof/>
                <w:rtl/>
              </w:rPr>
              <w:t>השניה כאשר התמקד בטענתה שלא קם השתק כלפי הגרושה הראשונה  .</w:t>
            </w:r>
            <w:r w:rsidR="00707920">
              <w:rPr>
                <w:noProof/>
                <w:webHidden/>
              </w:rPr>
              <w:tab/>
            </w:r>
            <w:r w:rsidR="00707920">
              <w:rPr>
                <w:rStyle w:val="Hyperlink"/>
                <w:noProof/>
                <w:rtl/>
              </w:rPr>
              <w:fldChar w:fldCharType="begin"/>
            </w:r>
            <w:r w:rsidR="00707920">
              <w:rPr>
                <w:noProof/>
                <w:webHidden/>
              </w:rPr>
              <w:instrText xml:space="preserve"> PAGEREF _Toc168898763 \h </w:instrText>
            </w:r>
            <w:r w:rsidR="00707920">
              <w:rPr>
                <w:rStyle w:val="Hyperlink"/>
                <w:noProof/>
                <w:rtl/>
              </w:rPr>
            </w:r>
            <w:r w:rsidR="00707920">
              <w:rPr>
                <w:rStyle w:val="Hyperlink"/>
                <w:noProof/>
                <w:rtl/>
              </w:rPr>
              <w:fldChar w:fldCharType="separate"/>
            </w:r>
            <w:r w:rsidR="000A461F">
              <w:rPr>
                <w:noProof/>
                <w:webHidden/>
                <w:rtl/>
              </w:rPr>
              <w:t>8</w:t>
            </w:r>
            <w:r w:rsidR="00707920">
              <w:rPr>
                <w:rStyle w:val="Hyperlink"/>
                <w:noProof/>
                <w:rtl/>
              </w:rPr>
              <w:fldChar w:fldCharType="end"/>
            </w:r>
          </w:hyperlink>
        </w:p>
        <w:p w14:paraId="6336B7D6" w14:textId="3DF93D50" w:rsidR="00707920" w:rsidRDefault="00AB7D7F" w:rsidP="006B4727">
          <w:pPr>
            <w:pStyle w:val="TOC3"/>
            <w:rPr>
              <w:rFonts w:eastAsiaTheme="minorEastAsia"/>
              <w:noProof/>
            </w:rPr>
          </w:pPr>
          <w:hyperlink w:anchor="_Toc168898764" w:history="1">
            <w:r w:rsidR="00707920" w:rsidRPr="00163FB7">
              <w:rPr>
                <w:rStyle w:val="Hyperlink"/>
                <w:rFonts w:ascii="David" w:hAnsi="David" w:cs="David"/>
                <w:noProof/>
                <w:rtl/>
              </w:rPr>
              <w:t>ג(4) תמצית טענות הגרושה  הראשונה- שהצטרפה לבקשת הנאמן כי לשיטתה המדובר במקרה קלאסי, של יחיד המתחמק  מתשלום חוב מזונות בעוד הוא לטענתה בעלים של 50 אחוז מנכס- כמפורט להלן לצורך הלך זה תבדק השאלה האם ניתן לראות בו בעלים .</w:t>
            </w:r>
            <w:r w:rsidR="00707920">
              <w:rPr>
                <w:noProof/>
                <w:webHidden/>
              </w:rPr>
              <w:tab/>
            </w:r>
            <w:r w:rsidR="00707920">
              <w:rPr>
                <w:rStyle w:val="Hyperlink"/>
                <w:noProof/>
                <w:rtl/>
              </w:rPr>
              <w:fldChar w:fldCharType="begin"/>
            </w:r>
            <w:r w:rsidR="00707920">
              <w:rPr>
                <w:noProof/>
                <w:webHidden/>
              </w:rPr>
              <w:instrText xml:space="preserve"> PAGEREF _Toc168898764 \h </w:instrText>
            </w:r>
            <w:r w:rsidR="00707920">
              <w:rPr>
                <w:rStyle w:val="Hyperlink"/>
                <w:noProof/>
                <w:rtl/>
              </w:rPr>
            </w:r>
            <w:r w:rsidR="00707920">
              <w:rPr>
                <w:rStyle w:val="Hyperlink"/>
                <w:noProof/>
                <w:rtl/>
              </w:rPr>
              <w:fldChar w:fldCharType="separate"/>
            </w:r>
            <w:r w:rsidR="000A461F">
              <w:rPr>
                <w:noProof/>
                <w:webHidden/>
                <w:rtl/>
              </w:rPr>
              <w:t>9</w:t>
            </w:r>
            <w:r w:rsidR="00707920">
              <w:rPr>
                <w:rStyle w:val="Hyperlink"/>
                <w:noProof/>
                <w:rtl/>
              </w:rPr>
              <w:fldChar w:fldCharType="end"/>
            </w:r>
          </w:hyperlink>
        </w:p>
        <w:p w14:paraId="45378B72" w14:textId="08F508EF" w:rsidR="00707920" w:rsidRDefault="00AB7D7F" w:rsidP="006B4727">
          <w:pPr>
            <w:pStyle w:val="TOC3"/>
            <w:rPr>
              <w:rFonts w:eastAsiaTheme="minorEastAsia"/>
              <w:noProof/>
            </w:rPr>
          </w:pPr>
          <w:hyperlink w:anchor="_Toc168898765" w:history="1">
            <w:r w:rsidR="00707920" w:rsidRPr="00163FB7">
              <w:rPr>
                <w:rStyle w:val="Hyperlink"/>
                <w:rFonts w:ascii="David" w:hAnsi="David" w:cs="David"/>
                <w:noProof/>
                <w:rtl/>
              </w:rPr>
              <w:t>ן</w:t>
            </w:r>
            <w:r w:rsidR="00707920">
              <w:rPr>
                <w:noProof/>
                <w:webHidden/>
              </w:rPr>
              <w:tab/>
            </w:r>
            <w:r w:rsidR="00707920">
              <w:rPr>
                <w:rStyle w:val="Hyperlink"/>
                <w:noProof/>
                <w:rtl/>
              </w:rPr>
              <w:fldChar w:fldCharType="begin"/>
            </w:r>
            <w:r w:rsidR="00707920">
              <w:rPr>
                <w:noProof/>
                <w:webHidden/>
              </w:rPr>
              <w:instrText xml:space="preserve"> PAGEREF _Toc168898765 \h </w:instrText>
            </w:r>
            <w:r w:rsidR="00707920">
              <w:rPr>
                <w:rStyle w:val="Hyperlink"/>
                <w:noProof/>
                <w:rtl/>
              </w:rPr>
            </w:r>
            <w:r w:rsidR="00707920">
              <w:rPr>
                <w:rStyle w:val="Hyperlink"/>
                <w:noProof/>
                <w:rtl/>
              </w:rPr>
              <w:fldChar w:fldCharType="separate"/>
            </w:r>
            <w:r w:rsidR="000A461F">
              <w:rPr>
                <w:noProof/>
                <w:webHidden/>
                <w:rtl/>
              </w:rPr>
              <w:t>10</w:t>
            </w:r>
            <w:r w:rsidR="00707920">
              <w:rPr>
                <w:rStyle w:val="Hyperlink"/>
                <w:noProof/>
                <w:rtl/>
              </w:rPr>
              <w:fldChar w:fldCharType="end"/>
            </w:r>
          </w:hyperlink>
        </w:p>
        <w:p w14:paraId="7EED742B" w14:textId="5ABF30B6" w:rsidR="00707920" w:rsidRDefault="00AB7D7F" w:rsidP="006B4727">
          <w:pPr>
            <w:pStyle w:val="TOC3"/>
            <w:rPr>
              <w:rFonts w:eastAsiaTheme="minorEastAsia"/>
              <w:noProof/>
            </w:rPr>
          </w:pPr>
          <w:hyperlink w:anchor="_Toc168898766" w:history="1">
            <w:r w:rsidR="00707920" w:rsidRPr="00163FB7">
              <w:rPr>
                <w:rStyle w:val="Hyperlink"/>
                <w:rFonts w:ascii="David" w:hAnsi="David" w:cs="David"/>
                <w:noProof/>
                <w:rtl/>
              </w:rPr>
              <w:t>ג(5) תמצית עמדת הממונה המצטרף לבקשת הנאמן  לפירוק השיתוף.</w:t>
            </w:r>
            <w:r w:rsidR="00707920">
              <w:rPr>
                <w:noProof/>
                <w:webHidden/>
              </w:rPr>
              <w:tab/>
            </w:r>
            <w:r w:rsidR="00707920">
              <w:rPr>
                <w:rStyle w:val="Hyperlink"/>
                <w:noProof/>
                <w:rtl/>
              </w:rPr>
              <w:fldChar w:fldCharType="begin"/>
            </w:r>
            <w:r w:rsidR="00707920">
              <w:rPr>
                <w:noProof/>
                <w:webHidden/>
              </w:rPr>
              <w:instrText xml:space="preserve"> PAGEREF _Toc168898766 \h </w:instrText>
            </w:r>
            <w:r w:rsidR="00707920">
              <w:rPr>
                <w:rStyle w:val="Hyperlink"/>
                <w:noProof/>
                <w:rtl/>
              </w:rPr>
            </w:r>
            <w:r w:rsidR="00707920">
              <w:rPr>
                <w:rStyle w:val="Hyperlink"/>
                <w:noProof/>
                <w:rtl/>
              </w:rPr>
              <w:fldChar w:fldCharType="separate"/>
            </w:r>
            <w:r w:rsidR="000A461F">
              <w:rPr>
                <w:noProof/>
                <w:webHidden/>
                <w:rtl/>
              </w:rPr>
              <w:t>10</w:t>
            </w:r>
            <w:r w:rsidR="00707920">
              <w:rPr>
                <w:rStyle w:val="Hyperlink"/>
                <w:noProof/>
                <w:rtl/>
              </w:rPr>
              <w:fldChar w:fldCharType="end"/>
            </w:r>
          </w:hyperlink>
        </w:p>
        <w:p w14:paraId="768E9B11" w14:textId="311E7C28" w:rsidR="00707920" w:rsidRDefault="00AB7D7F" w:rsidP="006B4727">
          <w:pPr>
            <w:pStyle w:val="TOC2"/>
            <w:rPr>
              <w:rFonts w:eastAsiaTheme="minorEastAsia"/>
              <w:noProof/>
            </w:rPr>
          </w:pPr>
          <w:hyperlink w:anchor="_Toc168898767" w:history="1">
            <w:r w:rsidR="00707920" w:rsidRPr="00163FB7">
              <w:rPr>
                <w:rStyle w:val="Hyperlink"/>
                <w:rFonts w:ascii="David" w:hAnsi="David"/>
                <w:b/>
                <w:bCs/>
                <w:noProof/>
                <w:rtl/>
              </w:rPr>
              <w:t>ג. תמצית הטענות העיקריות בדיון</w:t>
            </w:r>
            <w:r w:rsidR="00707920">
              <w:rPr>
                <w:noProof/>
                <w:webHidden/>
              </w:rPr>
              <w:tab/>
            </w:r>
            <w:r w:rsidR="00707920">
              <w:rPr>
                <w:rStyle w:val="Hyperlink"/>
                <w:noProof/>
                <w:rtl/>
              </w:rPr>
              <w:fldChar w:fldCharType="begin"/>
            </w:r>
            <w:r w:rsidR="00707920">
              <w:rPr>
                <w:noProof/>
                <w:webHidden/>
              </w:rPr>
              <w:instrText xml:space="preserve"> PAGEREF _Toc168898767 \h </w:instrText>
            </w:r>
            <w:r w:rsidR="00707920">
              <w:rPr>
                <w:rStyle w:val="Hyperlink"/>
                <w:noProof/>
                <w:rtl/>
              </w:rPr>
            </w:r>
            <w:r w:rsidR="00707920">
              <w:rPr>
                <w:rStyle w:val="Hyperlink"/>
                <w:noProof/>
                <w:rtl/>
              </w:rPr>
              <w:fldChar w:fldCharType="separate"/>
            </w:r>
            <w:r w:rsidR="000A461F">
              <w:rPr>
                <w:noProof/>
                <w:webHidden/>
                <w:rtl/>
              </w:rPr>
              <w:t>10</w:t>
            </w:r>
            <w:r w:rsidR="00707920">
              <w:rPr>
                <w:rStyle w:val="Hyperlink"/>
                <w:noProof/>
                <w:rtl/>
              </w:rPr>
              <w:fldChar w:fldCharType="end"/>
            </w:r>
          </w:hyperlink>
        </w:p>
        <w:p w14:paraId="57DFC858" w14:textId="446CAC02" w:rsidR="00707920" w:rsidRDefault="00AB7D7F" w:rsidP="006B4727">
          <w:pPr>
            <w:pStyle w:val="TOC1"/>
            <w:tabs>
              <w:tab w:val="right" w:leader="dot" w:pos="10457"/>
            </w:tabs>
            <w:rPr>
              <w:rFonts w:asciiTheme="minorHAnsi" w:eastAsiaTheme="minorEastAsia" w:hAnsiTheme="minorHAnsi" w:cstheme="minorBidi"/>
              <w:sz w:val="22"/>
              <w:szCs w:val="22"/>
            </w:rPr>
          </w:pPr>
          <w:hyperlink w:anchor="_Toc168898768" w:history="1">
            <w:r w:rsidR="00707920" w:rsidRPr="00163FB7">
              <w:rPr>
                <w:rStyle w:val="Hyperlink"/>
                <w:rFonts w:ascii="David" w:hAnsi="David"/>
                <w:b/>
                <w:bCs/>
                <w:rtl/>
              </w:rPr>
              <w:t>ד. ההכרעה</w:t>
            </w:r>
            <w:r w:rsidR="00707920">
              <w:rPr>
                <w:webHidden/>
              </w:rPr>
              <w:tab/>
            </w:r>
            <w:r w:rsidR="00707920">
              <w:rPr>
                <w:rStyle w:val="Hyperlink"/>
                <w:rtl/>
              </w:rPr>
              <w:fldChar w:fldCharType="begin"/>
            </w:r>
            <w:r w:rsidR="00707920">
              <w:rPr>
                <w:webHidden/>
              </w:rPr>
              <w:instrText xml:space="preserve"> PAGEREF _Toc168898768 \h </w:instrText>
            </w:r>
            <w:r w:rsidR="00707920">
              <w:rPr>
                <w:rStyle w:val="Hyperlink"/>
                <w:rtl/>
              </w:rPr>
            </w:r>
            <w:r w:rsidR="00707920">
              <w:rPr>
                <w:rStyle w:val="Hyperlink"/>
                <w:rtl/>
              </w:rPr>
              <w:fldChar w:fldCharType="separate"/>
            </w:r>
            <w:r w:rsidR="000A461F">
              <w:rPr>
                <w:webHidden/>
                <w:rtl/>
              </w:rPr>
              <w:t>11</w:t>
            </w:r>
            <w:r w:rsidR="00707920">
              <w:rPr>
                <w:rStyle w:val="Hyperlink"/>
                <w:rtl/>
              </w:rPr>
              <w:fldChar w:fldCharType="end"/>
            </w:r>
          </w:hyperlink>
        </w:p>
        <w:p w14:paraId="3F15CAD6" w14:textId="5C181BEE" w:rsidR="00707920" w:rsidRDefault="00AB7D7F" w:rsidP="006B4727">
          <w:pPr>
            <w:pStyle w:val="TOC1"/>
            <w:tabs>
              <w:tab w:val="right" w:leader="dot" w:pos="10457"/>
            </w:tabs>
            <w:rPr>
              <w:rFonts w:asciiTheme="minorHAnsi" w:eastAsiaTheme="minorEastAsia" w:hAnsiTheme="minorHAnsi" w:cstheme="minorBidi"/>
              <w:sz w:val="22"/>
              <w:szCs w:val="22"/>
            </w:rPr>
          </w:pPr>
          <w:hyperlink w:anchor="_Toc168898769" w:history="1">
            <w:r w:rsidR="00707920" w:rsidRPr="00163FB7">
              <w:rPr>
                <w:rStyle w:val="Hyperlink"/>
                <w:rFonts w:ascii="David" w:hAnsi="David"/>
                <w:b/>
                <w:bCs/>
                <w:rtl/>
              </w:rPr>
              <w:t>ה. הנימוקים להכרעה</w:t>
            </w:r>
            <w:r w:rsidR="00707920">
              <w:rPr>
                <w:webHidden/>
              </w:rPr>
              <w:tab/>
            </w:r>
            <w:r w:rsidR="00707920">
              <w:rPr>
                <w:rStyle w:val="Hyperlink"/>
                <w:rtl/>
              </w:rPr>
              <w:fldChar w:fldCharType="begin"/>
            </w:r>
            <w:r w:rsidR="00707920">
              <w:rPr>
                <w:webHidden/>
              </w:rPr>
              <w:instrText xml:space="preserve"> PAGEREF _Toc168898769 \h </w:instrText>
            </w:r>
            <w:r w:rsidR="00707920">
              <w:rPr>
                <w:rStyle w:val="Hyperlink"/>
                <w:rtl/>
              </w:rPr>
            </w:r>
            <w:r w:rsidR="00707920">
              <w:rPr>
                <w:rStyle w:val="Hyperlink"/>
                <w:rtl/>
              </w:rPr>
              <w:fldChar w:fldCharType="separate"/>
            </w:r>
            <w:r w:rsidR="000A461F">
              <w:rPr>
                <w:webHidden/>
                <w:rtl/>
              </w:rPr>
              <w:t>12</w:t>
            </w:r>
            <w:r w:rsidR="00707920">
              <w:rPr>
                <w:rStyle w:val="Hyperlink"/>
                <w:rtl/>
              </w:rPr>
              <w:fldChar w:fldCharType="end"/>
            </w:r>
          </w:hyperlink>
        </w:p>
        <w:p w14:paraId="421338AD" w14:textId="1F133F50" w:rsidR="00707920" w:rsidRDefault="00AB7D7F" w:rsidP="006B4727">
          <w:pPr>
            <w:pStyle w:val="TOC3"/>
            <w:rPr>
              <w:rFonts w:eastAsiaTheme="minorEastAsia"/>
              <w:noProof/>
            </w:rPr>
          </w:pPr>
          <w:hyperlink w:anchor="_Toc168898770" w:history="1">
            <w:r w:rsidR="00707920" w:rsidRPr="00163FB7">
              <w:rPr>
                <w:rStyle w:val="Hyperlink"/>
                <w:rFonts w:ascii="David" w:hAnsi="David" w:cs="David"/>
                <w:noProof/>
                <w:rtl/>
              </w:rPr>
              <w:t>ה(1) המסגרת הנורמטיבית  -</w:t>
            </w:r>
            <w:r w:rsidR="00707920">
              <w:rPr>
                <w:noProof/>
                <w:webHidden/>
              </w:rPr>
              <w:tab/>
            </w:r>
            <w:r w:rsidR="00707920">
              <w:rPr>
                <w:rStyle w:val="Hyperlink"/>
                <w:noProof/>
                <w:rtl/>
              </w:rPr>
              <w:fldChar w:fldCharType="begin"/>
            </w:r>
            <w:r w:rsidR="00707920">
              <w:rPr>
                <w:noProof/>
                <w:webHidden/>
              </w:rPr>
              <w:instrText xml:space="preserve"> PAGEREF _Toc168898770 \h </w:instrText>
            </w:r>
            <w:r w:rsidR="00707920">
              <w:rPr>
                <w:rStyle w:val="Hyperlink"/>
                <w:noProof/>
                <w:rtl/>
              </w:rPr>
            </w:r>
            <w:r w:rsidR="00707920">
              <w:rPr>
                <w:rStyle w:val="Hyperlink"/>
                <w:noProof/>
                <w:rtl/>
              </w:rPr>
              <w:fldChar w:fldCharType="separate"/>
            </w:r>
            <w:r w:rsidR="000A461F">
              <w:rPr>
                <w:noProof/>
                <w:webHidden/>
                <w:rtl/>
              </w:rPr>
              <w:t>12</w:t>
            </w:r>
            <w:r w:rsidR="00707920">
              <w:rPr>
                <w:rStyle w:val="Hyperlink"/>
                <w:noProof/>
                <w:rtl/>
              </w:rPr>
              <w:fldChar w:fldCharType="end"/>
            </w:r>
          </w:hyperlink>
        </w:p>
        <w:p w14:paraId="767222E1" w14:textId="7C683CE9" w:rsidR="00707920" w:rsidRDefault="00AB7D7F" w:rsidP="006B4727">
          <w:pPr>
            <w:pStyle w:val="TOC3"/>
            <w:rPr>
              <w:rFonts w:eastAsiaTheme="minorEastAsia"/>
              <w:noProof/>
            </w:rPr>
          </w:pPr>
          <w:hyperlink w:anchor="_Toc168898771" w:history="1">
            <w:r w:rsidR="00707920" w:rsidRPr="00163FB7">
              <w:rPr>
                <w:rStyle w:val="Hyperlink"/>
                <w:rFonts w:ascii="David" w:hAnsi="David" w:cs="David"/>
                <w:noProof/>
                <w:rtl/>
              </w:rPr>
              <w:t>ה(2) מהמסגרת הנורמטיבית היחיד עולה שהיחיד לא שותף בנכס , ושהנאמן אינו יכול לבקש פירוק שיתוף שהיחיד עצמו וגם הגרושה אינם רשאים לבקש</w:t>
            </w:r>
            <w:r w:rsidR="00707920">
              <w:rPr>
                <w:noProof/>
                <w:webHidden/>
              </w:rPr>
              <w:tab/>
            </w:r>
            <w:r w:rsidR="00707920">
              <w:rPr>
                <w:rStyle w:val="Hyperlink"/>
                <w:noProof/>
                <w:rtl/>
              </w:rPr>
              <w:fldChar w:fldCharType="begin"/>
            </w:r>
            <w:r w:rsidR="00707920">
              <w:rPr>
                <w:noProof/>
                <w:webHidden/>
              </w:rPr>
              <w:instrText xml:space="preserve"> PAGEREF _Toc168898771 \h </w:instrText>
            </w:r>
            <w:r w:rsidR="00707920">
              <w:rPr>
                <w:rStyle w:val="Hyperlink"/>
                <w:noProof/>
                <w:rtl/>
              </w:rPr>
            </w:r>
            <w:r w:rsidR="00707920">
              <w:rPr>
                <w:rStyle w:val="Hyperlink"/>
                <w:noProof/>
                <w:rtl/>
              </w:rPr>
              <w:fldChar w:fldCharType="separate"/>
            </w:r>
            <w:r w:rsidR="000A461F">
              <w:rPr>
                <w:noProof/>
                <w:webHidden/>
                <w:rtl/>
              </w:rPr>
              <w:t>12</w:t>
            </w:r>
            <w:r w:rsidR="00707920">
              <w:rPr>
                <w:rStyle w:val="Hyperlink"/>
                <w:noProof/>
                <w:rtl/>
              </w:rPr>
              <w:fldChar w:fldCharType="end"/>
            </w:r>
          </w:hyperlink>
        </w:p>
        <w:p w14:paraId="13B1105F" w14:textId="688506A3" w:rsidR="00707920" w:rsidRDefault="00AB7D7F" w:rsidP="006B4727">
          <w:pPr>
            <w:pStyle w:val="TOC3"/>
            <w:rPr>
              <w:rFonts w:eastAsiaTheme="minorEastAsia"/>
              <w:noProof/>
            </w:rPr>
          </w:pPr>
          <w:hyperlink w:anchor="_Toc168898772" w:history="1">
            <w:r w:rsidR="00707920" w:rsidRPr="00163FB7">
              <w:rPr>
                <w:rStyle w:val="Hyperlink"/>
                <w:rFonts w:ascii="David" w:hAnsi="David" w:cs="David"/>
                <w:noProof/>
                <w:rtl/>
              </w:rPr>
              <w:t>פסק הדין שהורה על רישום זכויות על שם הגרושה השנייה</w:t>
            </w:r>
            <w:r w:rsidR="00707920" w:rsidRPr="00163FB7">
              <w:rPr>
                <w:rStyle w:val="Hyperlink"/>
                <w:rFonts w:ascii="David" w:hAnsi="David" w:cs="David"/>
                <w:noProof/>
              </w:rPr>
              <w:t xml:space="preserve">  </w:t>
            </w:r>
            <w:r w:rsidR="00707920" w:rsidRPr="00163FB7">
              <w:rPr>
                <w:rStyle w:val="Hyperlink"/>
                <w:rFonts w:ascii="David" w:hAnsi="David" w:cs="David"/>
                <w:noProof/>
                <w:rtl/>
              </w:rPr>
              <w:t>אשר לפיו היחיד אינו שותף אינו מאפשר לנאמן לפעול בניגוד לו</w:t>
            </w:r>
            <w:r w:rsidR="00707920" w:rsidRPr="00163FB7">
              <w:rPr>
                <w:rStyle w:val="Hyperlink"/>
                <w:rFonts w:ascii="David" w:hAnsi="David" w:cs="David"/>
                <w:b/>
                <w:bCs/>
                <w:noProof/>
                <w:rtl/>
              </w:rPr>
              <w:t xml:space="preserve">  גם לנוכח יחסי הקרבה המשפטית </w:t>
            </w:r>
            <w:r w:rsidR="00707920" w:rsidRPr="00163FB7">
              <w:rPr>
                <w:rStyle w:val="Hyperlink"/>
                <w:rFonts w:ascii="David" w:hAnsi="David" w:cs="David"/>
                <w:noProof/>
                <w:rtl/>
              </w:rPr>
              <w:t>, ומכוח העיקול הגרושה הראשונה אינה נחשבת שותפה בנכס ובכל אופן לא בנעליה הנאמן הוסמך לפעול</w:t>
            </w:r>
            <w:r w:rsidR="00707920">
              <w:rPr>
                <w:noProof/>
                <w:webHidden/>
              </w:rPr>
              <w:tab/>
            </w:r>
            <w:r w:rsidR="00707920">
              <w:rPr>
                <w:rStyle w:val="Hyperlink"/>
                <w:noProof/>
                <w:rtl/>
              </w:rPr>
              <w:fldChar w:fldCharType="begin"/>
            </w:r>
            <w:r w:rsidR="00707920">
              <w:rPr>
                <w:noProof/>
                <w:webHidden/>
              </w:rPr>
              <w:instrText xml:space="preserve"> PAGEREF _Toc168898772 \h </w:instrText>
            </w:r>
            <w:r w:rsidR="00707920">
              <w:rPr>
                <w:rStyle w:val="Hyperlink"/>
                <w:noProof/>
                <w:rtl/>
              </w:rPr>
            </w:r>
            <w:r w:rsidR="00707920">
              <w:rPr>
                <w:rStyle w:val="Hyperlink"/>
                <w:noProof/>
                <w:rtl/>
              </w:rPr>
              <w:fldChar w:fldCharType="separate"/>
            </w:r>
            <w:r w:rsidR="000A461F">
              <w:rPr>
                <w:noProof/>
                <w:webHidden/>
                <w:rtl/>
              </w:rPr>
              <w:t>13</w:t>
            </w:r>
            <w:r w:rsidR="00707920">
              <w:rPr>
                <w:rStyle w:val="Hyperlink"/>
                <w:noProof/>
                <w:rtl/>
              </w:rPr>
              <w:fldChar w:fldCharType="end"/>
            </w:r>
          </w:hyperlink>
        </w:p>
        <w:p w14:paraId="0ACDBF18" w14:textId="73359791" w:rsidR="00707920" w:rsidRDefault="00AB7D7F" w:rsidP="006B4727">
          <w:pPr>
            <w:pStyle w:val="TOC3"/>
            <w:rPr>
              <w:rFonts w:eastAsiaTheme="minorEastAsia"/>
              <w:noProof/>
            </w:rPr>
          </w:pPr>
          <w:hyperlink w:anchor="_Toc168898773" w:history="1">
            <w:r w:rsidR="00707920" w:rsidRPr="00163FB7">
              <w:rPr>
                <w:rStyle w:val="Hyperlink"/>
                <w:rFonts w:ascii="David" w:hAnsi="David" w:cs="David"/>
                <w:noProof/>
                <w:rtl/>
              </w:rPr>
              <w:t>ה(3) מעבר לנחוץ אציין שלא ניתן לטעון לעדיפותו של בעל ההתחייבות מכוח הלכת אהרונוב הנ"ל כי העיקול שהטילה הגרושה הראשונה מכוח הליך  ההוצל"פ קדם בזמן וגובר  .</w:t>
            </w:r>
            <w:r w:rsidR="00707920">
              <w:rPr>
                <w:noProof/>
                <w:webHidden/>
              </w:rPr>
              <w:tab/>
            </w:r>
            <w:r w:rsidR="00707920">
              <w:rPr>
                <w:rStyle w:val="Hyperlink"/>
                <w:noProof/>
                <w:rtl/>
              </w:rPr>
              <w:fldChar w:fldCharType="begin"/>
            </w:r>
            <w:r w:rsidR="00707920">
              <w:rPr>
                <w:noProof/>
                <w:webHidden/>
              </w:rPr>
              <w:instrText xml:space="preserve"> PAGEREF _Toc168898773 \h </w:instrText>
            </w:r>
            <w:r w:rsidR="00707920">
              <w:rPr>
                <w:rStyle w:val="Hyperlink"/>
                <w:noProof/>
                <w:rtl/>
              </w:rPr>
            </w:r>
            <w:r w:rsidR="00707920">
              <w:rPr>
                <w:rStyle w:val="Hyperlink"/>
                <w:noProof/>
                <w:rtl/>
              </w:rPr>
              <w:fldChar w:fldCharType="separate"/>
            </w:r>
            <w:r w:rsidR="000A461F">
              <w:rPr>
                <w:noProof/>
                <w:webHidden/>
                <w:rtl/>
              </w:rPr>
              <w:t>13</w:t>
            </w:r>
            <w:r w:rsidR="00707920">
              <w:rPr>
                <w:rStyle w:val="Hyperlink"/>
                <w:noProof/>
                <w:rtl/>
              </w:rPr>
              <w:fldChar w:fldCharType="end"/>
            </w:r>
          </w:hyperlink>
        </w:p>
        <w:p w14:paraId="1228A023" w14:textId="1E9E19EB" w:rsidR="00707920" w:rsidRDefault="00AB7D7F" w:rsidP="006B4727">
          <w:pPr>
            <w:pStyle w:val="TOC3"/>
            <w:rPr>
              <w:rFonts w:eastAsiaTheme="minorEastAsia"/>
              <w:noProof/>
            </w:rPr>
          </w:pPr>
          <w:hyperlink w:anchor="_Toc168898774" w:history="1">
            <w:r w:rsidR="00707920" w:rsidRPr="00163FB7">
              <w:rPr>
                <w:rStyle w:val="Hyperlink"/>
                <w:rFonts w:ascii="David" w:hAnsi="David" w:cs="David"/>
                <w:noProof/>
                <w:rtl/>
              </w:rPr>
              <w:t>ה(4) פסק הבוררות  - לא יצר מעשה בית דין כלפי הגרושה הראשונה בראש  וראשונה כי לא הייתה צד לו ואין לה "קרבה משפטית" עם מי מהצדדים לו  אך גם מנימוקים נוספים שיפורטו להלן</w:t>
            </w:r>
            <w:r w:rsidR="00707920">
              <w:rPr>
                <w:noProof/>
                <w:webHidden/>
              </w:rPr>
              <w:tab/>
            </w:r>
            <w:r w:rsidR="00707920">
              <w:rPr>
                <w:rStyle w:val="Hyperlink"/>
                <w:noProof/>
                <w:rtl/>
              </w:rPr>
              <w:fldChar w:fldCharType="begin"/>
            </w:r>
            <w:r w:rsidR="00707920">
              <w:rPr>
                <w:noProof/>
                <w:webHidden/>
              </w:rPr>
              <w:instrText xml:space="preserve"> PAGEREF _Toc168898774 \h </w:instrText>
            </w:r>
            <w:r w:rsidR="00707920">
              <w:rPr>
                <w:rStyle w:val="Hyperlink"/>
                <w:noProof/>
                <w:rtl/>
              </w:rPr>
            </w:r>
            <w:r w:rsidR="00707920">
              <w:rPr>
                <w:rStyle w:val="Hyperlink"/>
                <w:noProof/>
                <w:rtl/>
              </w:rPr>
              <w:fldChar w:fldCharType="separate"/>
            </w:r>
            <w:r w:rsidR="000A461F">
              <w:rPr>
                <w:noProof/>
                <w:webHidden/>
                <w:rtl/>
              </w:rPr>
              <w:t>14</w:t>
            </w:r>
            <w:r w:rsidR="00707920">
              <w:rPr>
                <w:rStyle w:val="Hyperlink"/>
                <w:noProof/>
                <w:rtl/>
              </w:rPr>
              <w:fldChar w:fldCharType="end"/>
            </w:r>
          </w:hyperlink>
        </w:p>
        <w:p w14:paraId="3B941CD5" w14:textId="5085AA2B" w:rsidR="00707920" w:rsidRDefault="00AB7D7F" w:rsidP="006B4727">
          <w:pPr>
            <w:pStyle w:val="TOC3"/>
            <w:rPr>
              <w:rFonts w:eastAsiaTheme="minorEastAsia"/>
              <w:noProof/>
            </w:rPr>
          </w:pPr>
          <w:hyperlink w:anchor="_Toc168898775" w:history="1">
            <w:r w:rsidR="00707920" w:rsidRPr="00163FB7">
              <w:rPr>
                <w:rStyle w:val="Hyperlink"/>
                <w:rFonts w:ascii="David" w:hAnsi="David" w:cs="David"/>
                <w:noProof/>
                <w:rtl/>
              </w:rPr>
              <w:t>ה(5</w:t>
            </w:r>
            <w:r w:rsidR="00707920" w:rsidRPr="00163FB7">
              <w:rPr>
                <w:rStyle w:val="Hyperlink"/>
                <w:rFonts w:ascii="David" w:hAnsi="David" w:cs="David"/>
                <w:noProof/>
              </w:rPr>
              <w:t xml:space="preserve"> </w:t>
            </w:r>
            <w:r w:rsidR="00707920" w:rsidRPr="00163FB7">
              <w:rPr>
                <w:rStyle w:val="Hyperlink"/>
                <w:rFonts w:ascii="David" w:hAnsi="David" w:cs="David"/>
                <w:noProof/>
                <w:rtl/>
              </w:rPr>
              <w:t>) גם המרצת הפתיחה  של הגרושה הראשונה לביטול פסק הבורר   לא יצרה  מעשה בית דין המשתיק אותה  על זכותה לפי העיקול .</w:t>
            </w:r>
            <w:r w:rsidR="00707920">
              <w:rPr>
                <w:noProof/>
                <w:webHidden/>
              </w:rPr>
              <w:tab/>
            </w:r>
            <w:r w:rsidR="00707920">
              <w:rPr>
                <w:rStyle w:val="Hyperlink"/>
                <w:noProof/>
                <w:rtl/>
              </w:rPr>
              <w:fldChar w:fldCharType="begin"/>
            </w:r>
            <w:r w:rsidR="00707920">
              <w:rPr>
                <w:noProof/>
                <w:webHidden/>
              </w:rPr>
              <w:instrText xml:space="preserve"> PAGEREF _Toc168898775 \h </w:instrText>
            </w:r>
            <w:r w:rsidR="00707920">
              <w:rPr>
                <w:rStyle w:val="Hyperlink"/>
                <w:noProof/>
                <w:rtl/>
              </w:rPr>
            </w:r>
            <w:r w:rsidR="00707920">
              <w:rPr>
                <w:rStyle w:val="Hyperlink"/>
                <w:noProof/>
                <w:rtl/>
              </w:rPr>
              <w:fldChar w:fldCharType="separate"/>
            </w:r>
            <w:r w:rsidR="000A461F">
              <w:rPr>
                <w:noProof/>
                <w:webHidden/>
                <w:rtl/>
              </w:rPr>
              <w:t>15</w:t>
            </w:r>
            <w:r w:rsidR="00707920">
              <w:rPr>
                <w:rStyle w:val="Hyperlink"/>
                <w:noProof/>
                <w:rtl/>
              </w:rPr>
              <w:fldChar w:fldCharType="end"/>
            </w:r>
          </w:hyperlink>
        </w:p>
        <w:p w14:paraId="3C22E11C" w14:textId="1AAFB204" w:rsidR="00707920" w:rsidRDefault="00AB7D7F" w:rsidP="006B4727">
          <w:pPr>
            <w:pStyle w:val="TOC3"/>
            <w:rPr>
              <w:rFonts w:eastAsiaTheme="minorEastAsia"/>
              <w:noProof/>
            </w:rPr>
          </w:pPr>
          <w:hyperlink w:anchor="_Toc168898776" w:history="1">
            <w:r w:rsidR="00707920" w:rsidRPr="00163FB7">
              <w:rPr>
                <w:rStyle w:val="Hyperlink"/>
                <w:rFonts w:ascii="David" w:hAnsi="David" w:cs="David"/>
                <w:noProof/>
                <w:rtl/>
              </w:rPr>
              <w:t>ה(6) פסק הבוררות  ויתר ההליכים לא יצרו "השתק שיפוטי"כלפי הגרושה הראשונה .</w:t>
            </w:r>
            <w:r w:rsidR="00707920">
              <w:rPr>
                <w:noProof/>
                <w:webHidden/>
              </w:rPr>
              <w:tab/>
            </w:r>
            <w:r w:rsidR="00707920">
              <w:rPr>
                <w:rStyle w:val="Hyperlink"/>
                <w:noProof/>
                <w:rtl/>
              </w:rPr>
              <w:fldChar w:fldCharType="begin"/>
            </w:r>
            <w:r w:rsidR="00707920">
              <w:rPr>
                <w:noProof/>
                <w:webHidden/>
              </w:rPr>
              <w:instrText xml:space="preserve"> PAGEREF _Toc168898776 \h </w:instrText>
            </w:r>
            <w:r w:rsidR="00707920">
              <w:rPr>
                <w:rStyle w:val="Hyperlink"/>
                <w:noProof/>
                <w:rtl/>
              </w:rPr>
            </w:r>
            <w:r w:rsidR="00707920">
              <w:rPr>
                <w:rStyle w:val="Hyperlink"/>
                <w:noProof/>
                <w:rtl/>
              </w:rPr>
              <w:fldChar w:fldCharType="separate"/>
            </w:r>
            <w:r w:rsidR="000A461F">
              <w:rPr>
                <w:noProof/>
                <w:webHidden/>
                <w:rtl/>
              </w:rPr>
              <w:t>16</w:t>
            </w:r>
            <w:r w:rsidR="00707920">
              <w:rPr>
                <w:rStyle w:val="Hyperlink"/>
                <w:noProof/>
                <w:rtl/>
              </w:rPr>
              <w:fldChar w:fldCharType="end"/>
            </w:r>
          </w:hyperlink>
        </w:p>
        <w:p w14:paraId="2122BED3" w14:textId="57568A1E" w:rsidR="00707920" w:rsidRDefault="00AB7D7F" w:rsidP="006B4727">
          <w:pPr>
            <w:pStyle w:val="TOC2"/>
            <w:rPr>
              <w:rFonts w:eastAsiaTheme="minorEastAsia"/>
              <w:noProof/>
            </w:rPr>
          </w:pPr>
          <w:hyperlink w:anchor="_Toc168898777" w:history="1">
            <w:r w:rsidR="00707920" w:rsidRPr="00163FB7">
              <w:rPr>
                <w:rStyle w:val="Hyperlink"/>
                <w:rFonts w:ascii="David" w:hAnsi="David" w:cs="David"/>
                <w:b/>
                <w:bCs/>
                <w:noProof/>
                <w:rtl/>
              </w:rPr>
              <w:t>ו.סוף דבר</w:t>
            </w:r>
            <w:r w:rsidR="00707920">
              <w:rPr>
                <w:noProof/>
                <w:webHidden/>
              </w:rPr>
              <w:tab/>
            </w:r>
            <w:r w:rsidR="00707920">
              <w:rPr>
                <w:rStyle w:val="Hyperlink"/>
                <w:noProof/>
                <w:rtl/>
              </w:rPr>
              <w:fldChar w:fldCharType="begin"/>
            </w:r>
            <w:r w:rsidR="00707920">
              <w:rPr>
                <w:noProof/>
                <w:webHidden/>
              </w:rPr>
              <w:instrText xml:space="preserve"> PAGEREF _Toc168898777 \h </w:instrText>
            </w:r>
            <w:r w:rsidR="00707920">
              <w:rPr>
                <w:rStyle w:val="Hyperlink"/>
                <w:noProof/>
                <w:rtl/>
              </w:rPr>
            </w:r>
            <w:r w:rsidR="00707920">
              <w:rPr>
                <w:rStyle w:val="Hyperlink"/>
                <w:noProof/>
                <w:rtl/>
              </w:rPr>
              <w:fldChar w:fldCharType="separate"/>
            </w:r>
            <w:r w:rsidR="000A461F">
              <w:rPr>
                <w:noProof/>
                <w:webHidden/>
                <w:rtl/>
              </w:rPr>
              <w:t>16</w:t>
            </w:r>
            <w:r w:rsidR="00707920">
              <w:rPr>
                <w:rStyle w:val="Hyperlink"/>
                <w:noProof/>
                <w:rtl/>
              </w:rPr>
              <w:fldChar w:fldCharType="end"/>
            </w:r>
          </w:hyperlink>
        </w:p>
        <w:p w14:paraId="4CFF5B59" w14:textId="77777777" w:rsidR="00707920" w:rsidRDefault="00707920" w:rsidP="006B4727">
          <w:pPr>
            <w:rPr>
              <w:rFonts w:ascii="David" w:hAnsi="David"/>
            </w:rPr>
          </w:pPr>
          <w:r>
            <w:rPr>
              <w:rFonts w:ascii="David" w:hAnsi="David"/>
              <w:b/>
              <w:bCs/>
              <w:rtl/>
              <w:lang w:val="he-IL"/>
            </w:rPr>
            <w:fldChar w:fldCharType="end"/>
          </w:r>
        </w:p>
      </w:sdtContent>
    </w:sdt>
    <w:p w14:paraId="7B605619" w14:textId="77777777" w:rsidR="00707920" w:rsidRPr="00707920" w:rsidRDefault="00707920" w:rsidP="00707920">
      <w:pPr>
        <w:pStyle w:val="af4"/>
        <w:suppressLineNumbers/>
        <w:spacing w:line="240" w:lineRule="auto"/>
        <w:rPr>
          <w:rFonts w:ascii="David" w:hAnsi="David" w:cs="David"/>
          <w:b/>
          <w:bCs/>
          <w:sz w:val="24"/>
          <w:szCs w:val="24"/>
          <w:u w:val="single"/>
          <w:rtl/>
        </w:rPr>
      </w:pPr>
    </w:p>
    <w:p w14:paraId="39D3E515" w14:textId="77777777" w:rsidR="00707920" w:rsidRPr="00707920" w:rsidRDefault="00707920" w:rsidP="00707920">
      <w:pPr>
        <w:pStyle w:val="2"/>
        <w:rPr>
          <w:rFonts w:ascii="David" w:hAnsi="David" w:cs="David"/>
          <w:b/>
          <w:bCs/>
          <w:rtl/>
        </w:rPr>
      </w:pPr>
      <w:bookmarkStart w:id="2" w:name="_Toc168898749"/>
      <w:r w:rsidRPr="00707920">
        <w:rPr>
          <w:rFonts w:ascii="David" w:hAnsi="David" w:cs="David"/>
          <w:b/>
          <w:bCs/>
          <w:rtl/>
        </w:rPr>
        <w:t>א.  מבוא</w:t>
      </w:r>
      <w:bookmarkEnd w:id="2"/>
      <w:r w:rsidRPr="00707920">
        <w:rPr>
          <w:rFonts w:ascii="David" w:hAnsi="David" w:cs="David"/>
          <w:b/>
          <w:bCs/>
          <w:rtl/>
        </w:rPr>
        <w:t xml:space="preserve">  </w:t>
      </w:r>
    </w:p>
    <w:p w14:paraId="110834F8" w14:textId="77777777" w:rsidR="00707920" w:rsidRPr="00707920" w:rsidRDefault="00707920" w:rsidP="00707920">
      <w:pPr>
        <w:numPr>
          <w:ilvl w:val="0"/>
          <w:numId w:val="2"/>
        </w:numPr>
        <w:ind w:hanging="531"/>
        <w:contextualSpacing/>
        <w:jc w:val="both"/>
        <w:rPr>
          <w:rFonts w:ascii="David" w:hAnsi="David"/>
        </w:rPr>
      </w:pPr>
      <w:r w:rsidRPr="00707920">
        <w:rPr>
          <w:rFonts w:ascii="David" w:hAnsi="David"/>
          <w:rtl/>
        </w:rPr>
        <w:t xml:space="preserve">מקרה המעורר את השאלה - האם נאמן ,רשאי לבקש פירוק שיתוף בנכס, לאחר שביהמ"ש המחוזי כבר הורה  על רישום מלוא הזכויות בנכס </w:t>
      </w:r>
      <w:r w:rsidRPr="00707920">
        <w:rPr>
          <w:rFonts w:ascii="David" w:hAnsi="David"/>
          <w:u w:val="single"/>
          <w:rtl/>
        </w:rPr>
        <w:t>שלא על שם היחיד</w:t>
      </w:r>
      <w:r w:rsidRPr="00707920">
        <w:rPr>
          <w:rFonts w:ascii="David" w:hAnsi="David"/>
          <w:rtl/>
        </w:rPr>
        <w:t xml:space="preserve"> אלא  רק על שם אדם אחר, שהוא גרושתו השניה של היחיד. כל זאת, כי הגרושה הראשונה של היחיד שהיא הנושה שלבקשתה הההליך נפתח  הטילה עיקול קודם .ודוק- </w:t>
      </w:r>
      <w:r w:rsidRPr="00707920">
        <w:rPr>
          <w:rFonts w:ascii="David" w:hAnsi="David"/>
        </w:rPr>
        <w:t xml:space="preserve"> </w:t>
      </w:r>
      <w:r w:rsidRPr="00707920">
        <w:rPr>
          <w:rFonts w:ascii="David" w:hAnsi="David"/>
          <w:rtl/>
        </w:rPr>
        <w:t xml:space="preserve">בקשת הנאמן היא לפירוק השיתוף ובמפורש לא בטענה לגריעת נכסים. קיימת מחלוקת קשה סביב זכותו לרקע סבך </w:t>
      </w:r>
      <w:r w:rsidRPr="00707920">
        <w:rPr>
          <w:rFonts w:ascii="David" w:hAnsi="David"/>
        </w:rPr>
        <w:t xml:space="preserve"> </w:t>
      </w:r>
      <w:r w:rsidRPr="00707920">
        <w:rPr>
          <w:rFonts w:ascii="David" w:hAnsi="David"/>
          <w:rtl/>
        </w:rPr>
        <w:t xml:space="preserve">הליכים משפטיים לאחר שהיחיד לא שילם מזונות לילדיו </w:t>
      </w:r>
      <w:r w:rsidRPr="00707920">
        <w:rPr>
          <w:rFonts w:ascii="David" w:hAnsi="David"/>
        </w:rPr>
        <w:t xml:space="preserve"> </w:t>
      </w:r>
      <w:r w:rsidRPr="00707920">
        <w:rPr>
          <w:rFonts w:ascii="David" w:hAnsi="David"/>
          <w:rtl/>
        </w:rPr>
        <w:t>.</w:t>
      </w:r>
    </w:p>
    <w:p w14:paraId="02E4B583" w14:textId="77777777" w:rsidR="00707920" w:rsidRPr="00707920" w:rsidRDefault="00707920" w:rsidP="00707920">
      <w:pPr>
        <w:numPr>
          <w:ilvl w:val="0"/>
          <w:numId w:val="2"/>
        </w:numPr>
        <w:ind w:hanging="531"/>
        <w:contextualSpacing/>
        <w:jc w:val="both"/>
        <w:rPr>
          <w:rFonts w:ascii="David" w:hAnsi="David"/>
        </w:rPr>
      </w:pPr>
      <w:r w:rsidRPr="00707920">
        <w:rPr>
          <w:rFonts w:ascii="David" w:hAnsi="David"/>
          <w:rtl/>
        </w:rPr>
        <w:t>בכל אופן, בשלב הדיוני הנוכחי לקראת הדיון בצו לשיקום כלכלי, הוגשה ביום 6.5.24 הצעת ממונה למימוש נכס, בדרך של פירוק השיתוף.</w:t>
      </w:r>
    </w:p>
    <w:p w14:paraId="1B140489" w14:textId="56D18108" w:rsidR="00707920" w:rsidRDefault="00707920" w:rsidP="00707920">
      <w:pPr>
        <w:numPr>
          <w:ilvl w:val="0"/>
          <w:numId w:val="2"/>
        </w:numPr>
        <w:ind w:hanging="531"/>
        <w:contextualSpacing/>
        <w:jc w:val="both"/>
        <w:rPr>
          <w:rFonts w:ascii="David" w:hAnsi="David"/>
        </w:rPr>
      </w:pPr>
      <w:r w:rsidRPr="00707920">
        <w:rPr>
          <w:rFonts w:ascii="David" w:hAnsi="David"/>
          <w:rtl/>
        </w:rPr>
        <w:t>הצעת הממונה, הוגשה לאחר בקשת הנאמן לפירוק השיתוף. כמסתבר הנאמן סבור שפירוק השיתוף, הוא פעולה בנכסי קופת הנשייה, שהיחיד היה רשאי לעשותה ושהוא כנאמן, הוסמך לעשותה מכוח</w:t>
      </w:r>
      <w:r w:rsidRPr="00707920">
        <w:rPr>
          <w:rFonts w:ascii="David" w:hAnsi="David"/>
        </w:rPr>
        <w:t xml:space="preserve"> </w:t>
      </w:r>
      <w:r w:rsidRPr="00707920">
        <w:rPr>
          <w:rFonts w:ascii="David" w:hAnsi="David"/>
          <w:rtl/>
        </w:rPr>
        <w:t xml:space="preserve">ס' 131 </w:t>
      </w:r>
      <w:r w:rsidRPr="00707920">
        <w:rPr>
          <w:rFonts w:ascii="David" w:hAnsi="David"/>
          <w:b/>
          <w:bCs/>
          <w:rtl/>
        </w:rPr>
        <w:t xml:space="preserve">לחוק חדלות פירעון ושיקום כלכלי, </w:t>
      </w:r>
      <w:r w:rsidRPr="00707920">
        <w:rPr>
          <w:rFonts w:ascii="David" w:hAnsi="David"/>
          <w:rtl/>
        </w:rPr>
        <w:t>התשע"ח-2018 (להלן: "</w:t>
      </w:r>
      <w:r w:rsidRPr="00707920">
        <w:rPr>
          <w:rFonts w:ascii="David" w:hAnsi="David"/>
          <w:b/>
          <w:bCs/>
          <w:rtl/>
        </w:rPr>
        <w:t>החוק")</w:t>
      </w:r>
      <w:r w:rsidRPr="00707920">
        <w:rPr>
          <w:rFonts w:ascii="David" w:hAnsi="David"/>
          <w:rtl/>
        </w:rPr>
        <w:t>.</w:t>
      </w:r>
    </w:p>
    <w:p w14:paraId="69FEBA1C" w14:textId="77777777" w:rsidR="00707920" w:rsidRPr="00707920" w:rsidRDefault="00707920" w:rsidP="00707920">
      <w:pPr>
        <w:numPr>
          <w:ilvl w:val="0"/>
          <w:numId w:val="2"/>
        </w:numPr>
        <w:ind w:hanging="531"/>
        <w:contextualSpacing/>
        <w:jc w:val="both"/>
        <w:rPr>
          <w:rFonts w:ascii="David" w:hAnsi="David"/>
        </w:rPr>
      </w:pPr>
      <w:r w:rsidRPr="00707920">
        <w:rPr>
          <w:rFonts w:ascii="David" w:hAnsi="David"/>
          <w:rtl/>
        </w:rPr>
        <w:t xml:space="preserve">הנכס נושא הבקשה, ידוע גם כמשק 64 במושב בני ראם, תיק מנהל 522261 48-04א חוזה מספר 19207207,על המשק קיים מבנה (להלן: </w:t>
      </w:r>
      <w:r w:rsidRPr="00707920">
        <w:rPr>
          <w:rFonts w:ascii="David" w:hAnsi="David"/>
          <w:b/>
          <w:bCs/>
          <w:rtl/>
        </w:rPr>
        <w:t>"הנכס"</w:t>
      </w:r>
      <w:r w:rsidRPr="00707920">
        <w:rPr>
          <w:rFonts w:ascii="David" w:hAnsi="David"/>
          <w:rtl/>
        </w:rPr>
        <w:t xml:space="preserve">). הנכס כולל,  מבנה שהסתבר שנבנה אך ורק  מכספיה של הגרושה השניה. </w:t>
      </w:r>
    </w:p>
    <w:p w14:paraId="7F4B5346" w14:textId="77777777" w:rsidR="006B5497" w:rsidRDefault="00707920" w:rsidP="00707920">
      <w:pPr>
        <w:numPr>
          <w:ilvl w:val="0"/>
          <w:numId w:val="2"/>
        </w:numPr>
        <w:ind w:hanging="531"/>
        <w:contextualSpacing/>
        <w:jc w:val="both"/>
        <w:rPr>
          <w:rFonts w:ascii="David" w:hAnsi="David"/>
        </w:rPr>
      </w:pPr>
      <w:r w:rsidRPr="00707920">
        <w:rPr>
          <w:rFonts w:ascii="David" w:hAnsi="David"/>
          <w:rtl/>
        </w:rPr>
        <w:t>להלן אתייחס בקצרה להליך העיקרי,</w:t>
      </w:r>
      <w:r w:rsidRPr="00707920">
        <w:rPr>
          <w:rFonts w:ascii="David" w:hAnsi="David"/>
        </w:rPr>
        <w:t xml:space="preserve"> </w:t>
      </w:r>
      <w:r w:rsidRPr="00707920">
        <w:rPr>
          <w:rFonts w:ascii="David" w:hAnsi="David"/>
          <w:rtl/>
        </w:rPr>
        <w:t xml:space="preserve">לאחמ"כ לבקשת הביניים לפירוק השיתוף ולהליכים המשפטיים הנוספים   אבהיר מה חזית המחלוקת  לאחר בקשת הנאמן אולם למעלה מן הצורך ובשים לב ליריעת המחלוקת ולניסיונות עליהם סופר, מחוץ לכתלים אגע גם בנושאים נוספים.   </w:t>
      </w:r>
    </w:p>
    <w:p w14:paraId="6C36B9CF" w14:textId="02F44219" w:rsidR="00707920" w:rsidRPr="00707920" w:rsidRDefault="006B5497" w:rsidP="006B5497">
      <w:pPr>
        <w:numPr>
          <w:ilvl w:val="0"/>
          <w:numId w:val="2"/>
        </w:numPr>
        <w:ind w:hanging="531"/>
        <w:contextualSpacing/>
        <w:jc w:val="both"/>
        <w:rPr>
          <w:rFonts w:ascii="David" w:hAnsi="David"/>
        </w:rPr>
      </w:pPr>
      <w:r>
        <w:rPr>
          <w:rFonts w:ascii="David" w:hAnsi="David" w:hint="cs"/>
          <w:rtl/>
        </w:rPr>
        <w:t xml:space="preserve">עוד אציין שכעולה מהנאמר בדיון נעשה ניסיון למצות הכל בהסכמה אך ב"כ הגרושה השניה עמד על קיומה של החלטה   </w:t>
      </w:r>
      <w:r w:rsidR="00707920" w:rsidRPr="00707920">
        <w:rPr>
          <w:rFonts w:ascii="David" w:hAnsi="David"/>
          <w:rtl/>
        </w:rPr>
        <w:t xml:space="preserve">   </w:t>
      </w:r>
    </w:p>
    <w:p w14:paraId="0A831AC9" w14:textId="77777777" w:rsidR="00707920" w:rsidRPr="00707920" w:rsidRDefault="00707920" w:rsidP="00707920">
      <w:pPr>
        <w:pStyle w:val="2"/>
        <w:rPr>
          <w:rFonts w:ascii="David" w:hAnsi="David" w:cs="David"/>
          <w:b/>
          <w:bCs/>
          <w:rtl/>
        </w:rPr>
      </w:pPr>
      <w:bookmarkStart w:id="3" w:name="_Toc168898750"/>
      <w:r w:rsidRPr="00707920">
        <w:rPr>
          <w:rFonts w:ascii="David" w:hAnsi="David" w:cs="David"/>
          <w:b/>
          <w:bCs/>
          <w:rtl/>
        </w:rPr>
        <w:t>ב. הרקע  העובדתי הנוגע להליך החדל"פ ושרטוט מפת ההליכים שבהם התנהלו</w:t>
      </w:r>
      <w:r w:rsidRPr="00707920">
        <w:rPr>
          <w:rFonts w:ascii="David" w:hAnsi="David" w:cs="David"/>
          <w:b/>
          <w:bCs/>
        </w:rPr>
        <w:t xml:space="preserve"> </w:t>
      </w:r>
      <w:r w:rsidRPr="00707920">
        <w:rPr>
          <w:rFonts w:ascii="David" w:hAnsi="David" w:cs="David"/>
          <w:b/>
          <w:bCs/>
          <w:rtl/>
        </w:rPr>
        <w:t>היחיד והגרושות בקשר עם הנכס</w:t>
      </w:r>
      <w:bookmarkEnd w:id="3"/>
      <w:r w:rsidRPr="00707920">
        <w:rPr>
          <w:rFonts w:ascii="David" w:hAnsi="David" w:cs="David"/>
          <w:b/>
          <w:bCs/>
          <w:rtl/>
        </w:rPr>
        <w:t xml:space="preserve"> </w:t>
      </w:r>
    </w:p>
    <w:p w14:paraId="62A749BD" w14:textId="77777777" w:rsidR="00707920" w:rsidRPr="00707920" w:rsidRDefault="00707920" w:rsidP="00707920">
      <w:pPr>
        <w:rPr>
          <w:rFonts w:ascii="David" w:hAnsi="David"/>
          <w:rtl/>
        </w:rPr>
      </w:pPr>
    </w:p>
    <w:p w14:paraId="46C4C4C1" w14:textId="77777777" w:rsidR="00707920" w:rsidRPr="00707920" w:rsidRDefault="00707920" w:rsidP="00707920">
      <w:pPr>
        <w:pStyle w:val="3"/>
        <w:rPr>
          <w:rFonts w:ascii="David" w:hAnsi="David" w:cs="David"/>
          <w:rtl/>
        </w:rPr>
      </w:pPr>
      <w:bookmarkStart w:id="4" w:name="_Toc168898751"/>
      <w:r w:rsidRPr="00707920">
        <w:rPr>
          <w:rFonts w:ascii="David" w:hAnsi="David" w:cs="David"/>
          <w:rtl/>
        </w:rPr>
        <w:lastRenderedPageBreak/>
        <w:t>ב(1) הרקע הנוגע להליך החדל"פ</w:t>
      </w:r>
      <w:bookmarkEnd w:id="4"/>
      <w:r w:rsidRPr="00707920">
        <w:rPr>
          <w:rFonts w:ascii="David" w:hAnsi="David" w:cs="David"/>
          <w:rtl/>
        </w:rPr>
        <w:t xml:space="preserve"> </w:t>
      </w:r>
    </w:p>
    <w:p w14:paraId="05BD0BF0" w14:textId="77777777" w:rsidR="00707920" w:rsidRPr="00707920" w:rsidRDefault="00707920" w:rsidP="00707920">
      <w:pPr>
        <w:rPr>
          <w:rFonts w:ascii="David" w:hAnsi="David"/>
          <w:rtl/>
        </w:rPr>
      </w:pPr>
    </w:p>
    <w:p w14:paraId="407FB846" w14:textId="77777777" w:rsidR="00707920" w:rsidRPr="00707920" w:rsidRDefault="00707920" w:rsidP="00707920">
      <w:pPr>
        <w:numPr>
          <w:ilvl w:val="0"/>
          <w:numId w:val="2"/>
        </w:numPr>
        <w:ind w:hanging="531"/>
        <w:contextualSpacing/>
        <w:jc w:val="both"/>
        <w:rPr>
          <w:rFonts w:ascii="David" w:hAnsi="David"/>
        </w:rPr>
      </w:pPr>
      <w:r w:rsidRPr="00707920">
        <w:rPr>
          <w:rFonts w:ascii="David" w:hAnsi="David"/>
          <w:rtl/>
        </w:rPr>
        <w:t xml:space="preserve">אזכיר שהגברת  ב.  ח. שהיא הגרושה הראשונה של היחיד ( להלן </w:t>
      </w:r>
      <w:r w:rsidRPr="00707920">
        <w:rPr>
          <w:rFonts w:ascii="David" w:hAnsi="David"/>
        </w:rPr>
        <w:t>:</w:t>
      </w:r>
      <w:r w:rsidRPr="00707920">
        <w:rPr>
          <w:rFonts w:ascii="David" w:hAnsi="David"/>
          <w:b/>
          <w:bCs/>
          <w:rtl/>
        </w:rPr>
        <w:t>הגרושה הראשונה")</w:t>
      </w:r>
      <w:r w:rsidRPr="00707920">
        <w:rPr>
          <w:rFonts w:ascii="David" w:hAnsi="David"/>
          <w:rtl/>
        </w:rPr>
        <w:t xml:space="preserve"> הגישה ביום 26.1.23</w:t>
      </w:r>
      <w:r w:rsidRPr="00707920">
        <w:rPr>
          <w:rFonts w:ascii="David" w:hAnsi="David"/>
        </w:rPr>
        <w:t xml:space="preserve"> </w:t>
      </w:r>
      <w:r w:rsidRPr="00707920">
        <w:rPr>
          <w:rFonts w:ascii="David" w:hAnsi="David"/>
          <w:rtl/>
        </w:rPr>
        <w:t xml:space="preserve">  בקשה למתן צו פתיחת הליכים כנגד היחיד מחמת הטענות העיקריות  הבאות: א .ליחיד חוב  כלפיה, על פי פסק דין חלוט שפסק לה מזונות בסכום ששיעורו בעת הבקשה הגיע לסכום של 1,244,000</w:t>
      </w:r>
      <w:r w:rsidRPr="00707920">
        <w:rPr>
          <w:rFonts w:ascii="David" w:hAnsi="David"/>
        </w:rPr>
        <w:t xml:space="preserve"> </w:t>
      </w:r>
      <w:r w:rsidRPr="00707920">
        <w:rPr>
          <w:rFonts w:ascii="David" w:hAnsi="David"/>
          <w:rtl/>
        </w:rPr>
        <w:t>ב. נכשלו ניסיונותיה לגבות את מרבית החוב כי לטענתה היחיד מתוחכם, ערמומי ופועל למניעת הגביה. לטענתה, היחיד אף היה אלים</w:t>
      </w:r>
      <w:r w:rsidRPr="00707920">
        <w:rPr>
          <w:rFonts w:ascii="David" w:hAnsi="David"/>
        </w:rPr>
        <w:t xml:space="preserve"> </w:t>
      </w:r>
      <w:r w:rsidRPr="00707920">
        <w:rPr>
          <w:rFonts w:ascii="David" w:hAnsi="David"/>
          <w:rtl/>
        </w:rPr>
        <w:t xml:space="preserve">נגד אחיה שניסה לסייע לה, והיחיד אף ריצה מאסר. </w:t>
      </w:r>
      <w:r w:rsidRPr="00707920">
        <w:rPr>
          <w:rFonts w:ascii="David" w:hAnsi="David"/>
        </w:rPr>
        <w:t xml:space="preserve"> </w:t>
      </w:r>
    </w:p>
    <w:p w14:paraId="7ECD3735" w14:textId="77777777" w:rsidR="00707920" w:rsidRPr="00707920" w:rsidRDefault="00707920" w:rsidP="00707920">
      <w:pPr>
        <w:ind w:left="501"/>
        <w:contextualSpacing/>
        <w:jc w:val="both"/>
        <w:rPr>
          <w:rFonts w:ascii="David" w:hAnsi="David"/>
        </w:rPr>
      </w:pPr>
    </w:p>
    <w:p w14:paraId="21CBEE08" w14:textId="77777777" w:rsidR="00707920" w:rsidRPr="00707920" w:rsidRDefault="00707920" w:rsidP="00707920">
      <w:pPr>
        <w:numPr>
          <w:ilvl w:val="0"/>
          <w:numId w:val="2"/>
        </w:numPr>
        <w:ind w:hanging="531"/>
        <w:contextualSpacing/>
        <w:jc w:val="both"/>
        <w:rPr>
          <w:rFonts w:ascii="David" w:hAnsi="David"/>
        </w:rPr>
      </w:pPr>
      <w:r w:rsidRPr="00707920">
        <w:rPr>
          <w:rFonts w:ascii="David" w:hAnsi="David"/>
          <w:rtl/>
        </w:rPr>
        <w:t xml:space="preserve">בהחלטה, מיום 2.4.23 מצאתי הצדקה להורות על פתיחת הליכים לבקשת הגרושה הראשונה </w:t>
      </w:r>
      <w:r w:rsidRPr="00707920">
        <w:rPr>
          <w:rFonts w:ascii="David" w:hAnsi="David"/>
        </w:rPr>
        <w:t xml:space="preserve"> </w:t>
      </w:r>
      <w:r w:rsidRPr="00707920">
        <w:rPr>
          <w:rFonts w:ascii="David" w:hAnsi="David"/>
          <w:rtl/>
        </w:rPr>
        <w:t>כדי לא לסגור בפניה מראש, את "שער הכניסה" להליך חדלות הפירעון, באופן שימנע ממנה את השימוש ב"ארגז הכלים המיוחדים" שעשויים להניב לה תועלת. כמפורט בהחלטה זו,לטובת קידום התועלת לנושה</w:t>
      </w:r>
      <w:r w:rsidRPr="00707920">
        <w:rPr>
          <w:rFonts w:ascii="David" w:hAnsi="David"/>
        </w:rPr>
        <w:t xml:space="preserve"> </w:t>
      </w:r>
      <w:r w:rsidRPr="00707920">
        <w:rPr>
          <w:rFonts w:ascii="David" w:hAnsi="David"/>
          <w:rtl/>
        </w:rPr>
        <w:t xml:space="preserve">מקנה החוק  "ארגז  כלים מיוחדים" הכוללים גם סמכויות </w:t>
      </w:r>
      <w:r w:rsidRPr="00707920">
        <w:rPr>
          <w:rFonts w:ascii="David" w:hAnsi="David"/>
        </w:rPr>
        <w:t xml:space="preserve"> </w:t>
      </w:r>
      <w:r w:rsidRPr="00707920">
        <w:rPr>
          <w:rFonts w:ascii="David" w:hAnsi="David"/>
          <w:rtl/>
        </w:rPr>
        <w:t xml:space="preserve">נרחבות לחקירה לגילוי נכסים, ולביטול עסקאות לגריעה מקופת הנשייה. יפים לעניין זה דברים שנאמרו בין היתר </w:t>
      </w:r>
      <w:r w:rsidRPr="00707920">
        <w:rPr>
          <w:rFonts w:ascii="David" w:hAnsi="David"/>
          <w:b/>
          <w:bCs/>
          <w:rtl/>
        </w:rPr>
        <w:t xml:space="preserve">מפי </w:t>
      </w:r>
      <w:r w:rsidRPr="00707920">
        <w:rPr>
          <w:rFonts w:ascii="David" w:hAnsi="David"/>
          <w:rtl/>
        </w:rPr>
        <w:t xml:space="preserve">כב' השופט מינץ רע"א 8131/17 </w:t>
      </w:r>
      <w:r w:rsidRPr="00707920">
        <w:rPr>
          <w:rFonts w:ascii="David" w:hAnsi="David"/>
          <w:b/>
          <w:bCs/>
          <w:rtl/>
        </w:rPr>
        <w:t>רונן מזרחי נ' הכשרה חברה לביטוח</w:t>
      </w:r>
      <w:r w:rsidRPr="00707920">
        <w:rPr>
          <w:rFonts w:ascii="David" w:hAnsi="David"/>
          <w:rtl/>
        </w:rPr>
        <w:t xml:space="preserve"> בע"מ (נבו  14.11.2017)  לצד זאת, נקבע כי לאחר שיפתחו ההליכים ובשים לב לממצאים שיעלו, ייבחן מה ההמשך שלהם ( ראו חדל"פ (שלום ראשון לציון) 66330-01-23 </w:t>
      </w:r>
      <w:r w:rsidRPr="00707920">
        <w:rPr>
          <w:rFonts w:ascii="David" w:hAnsi="David"/>
          <w:b/>
          <w:bCs/>
          <w:rtl/>
        </w:rPr>
        <w:t>מ.ח נ' ז. ח </w:t>
      </w:r>
      <w:r w:rsidRPr="00707920">
        <w:rPr>
          <w:rFonts w:ascii="David" w:hAnsi="David"/>
          <w:rtl/>
        </w:rPr>
        <w:t>(נבו 02.04.2023 ) ( פסקה 12) כפועל יוצא מונה נאמןשכמובן מצויד בסמכויות נרחבות בתקופת הביניים.</w:t>
      </w:r>
      <w:r w:rsidRPr="00707920">
        <w:rPr>
          <w:rFonts w:ascii="David" w:hAnsi="David"/>
        </w:rPr>
        <w:t xml:space="preserve"> </w:t>
      </w:r>
    </w:p>
    <w:p w14:paraId="27777376" w14:textId="77777777" w:rsidR="00707920" w:rsidRPr="00707920" w:rsidRDefault="00707920" w:rsidP="00707920">
      <w:pPr>
        <w:ind w:left="501"/>
        <w:contextualSpacing/>
        <w:jc w:val="both"/>
        <w:rPr>
          <w:rFonts w:ascii="David" w:hAnsi="David"/>
        </w:rPr>
      </w:pPr>
    </w:p>
    <w:p w14:paraId="2C954571" w14:textId="77777777" w:rsidR="00707920" w:rsidRPr="00707920" w:rsidRDefault="00707920" w:rsidP="00707920">
      <w:pPr>
        <w:numPr>
          <w:ilvl w:val="0"/>
          <w:numId w:val="2"/>
        </w:numPr>
        <w:ind w:hanging="531"/>
        <w:contextualSpacing/>
        <w:jc w:val="both"/>
        <w:rPr>
          <w:rFonts w:ascii="David" w:hAnsi="David"/>
        </w:rPr>
      </w:pPr>
      <w:r w:rsidRPr="00707920">
        <w:rPr>
          <w:rFonts w:ascii="David" w:hAnsi="David"/>
          <w:rtl/>
        </w:rPr>
        <w:t xml:space="preserve">במהלך ההליך בשלב הדיוני הנוכחי הנאמן טרח והכין </w:t>
      </w:r>
      <w:r w:rsidRPr="00707920">
        <w:rPr>
          <w:rFonts w:ascii="David" w:hAnsi="David"/>
        </w:rPr>
        <w:t xml:space="preserve"> </w:t>
      </w:r>
      <w:r w:rsidRPr="00707920">
        <w:rPr>
          <w:rFonts w:ascii="David" w:hAnsi="David"/>
          <w:rtl/>
        </w:rPr>
        <w:t xml:space="preserve">דו"ח ממצאים מפורט. הדיון עתה, הוא </w:t>
      </w:r>
      <w:r w:rsidRPr="00707920">
        <w:rPr>
          <w:rFonts w:ascii="David" w:hAnsi="David"/>
          <w:b/>
          <w:bCs/>
          <w:rtl/>
        </w:rPr>
        <w:t xml:space="preserve"> לאחר</w:t>
      </w:r>
      <w:r w:rsidRPr="00707920">
        <w:rPr>
          <w:rFonts w:ascii="David" w:hAnsi="David"/>
          <w:rtl/>
        </w:rPr>
        <w:t xml:space="preserve"> שכבר הוצגו </w:t>
      </w:r>
      <w:r w:rsidRPr="00707920">
        <w:rPr>
          <w:rFonts w:ascii="David" w:hAnsi="David"/>
        </w:rPr>
        <w:t xml:space="preserve"> </w:t>
      </w:r>
      <w:r w:rsidRPr="00707920">
        <w:rPr>
          <w:rFonts w:ascii="David" w:hAnsi="David"/>
          <w:rtl/>
        </w:rPr>
        <w:t>הממצאים שבדו"ח הממצאים, ולאחר שכבר הוצגו נתונים ע"י הנוגעים בדבר במסגרת הליך חדלות הפירעון ובעיקר בבקשה 14 בנט המשפט. כמפורט להלן, סברתי כי הממצאים מובילים למסקנה שונה מזאת שמבקש הנאמן וזאת על רקע הנגזר מהדין המהותי המצוי.</w:t>
      </w:r>
    </w:p>
    <w:p w14:paraId="7595D624" w14:textId="77777777" w:rsidR="00707920" w:rsidRPr="00707920" w:rsidRDefault="00707920" w:rsidP="00707920">
      <w:pPr>
        <w:suppressLineNumbers/>
        <w:rPr>
          <w:rFonts w:ascii="David" w:hAnsi="David"/>
          <w:sz w:val="14"/>
          <w:szCs w:val="14"/>
        </w:rPr>
      </w:pPr>
    </w:p>
    <w:p w14:paraId="104517F8" w14:textId="77777777" w:rsidR="00707920" w:rsidRPr="00707920" w:rsidRDefault="00707920" w:rsidP="00707920">
      <w:pPr>
        <w:numPr>
          <w:ilvl w:val="0"/>
          <w:numId w:val="2"/>
        </w:numPr>
        <w:ind w:hanging="531"/>
        <w:contextualSpacing/>
        <w:jc w:val="both"/>
        <w:rPr>
          <w:rFonts w:ascii="David" w:hAnsi="David"/>
        </w:rPr>
      </w:pPr>
      <w:r w:rsidRPr="00707920">
        <w:rPr>
          <w:rFonts w:ascii="David" w:hAnsi="David"/>
          <w:rtl/>
        </w:rPr>
        <w:t>מתוך דו"ח הממצאים שצורף להצעת הממונה</w:t>
      </w:r>
      <w:r w:rsidRPr="00707920">
        <w:rPr>
          <w:rFonts w:ascii="David" w:hAnsi="David"/>
        </w:rPr>
        <w:t xml:space="preserve"> </w:t>
      </w:r>
      <w:r w:rsidRPr="00707920">
        <w:rPr>
          <w:rFonts w:ascii="David" w:hAnsi="David"/>
          <w:rtl/>
        </w:rPr>
        <w:t>מיום 6.5.24 אציין, שעולה כי הנאמן מצא שמאז פתיחת ההליכים, לא הוגשו נגד היחיד תביעות חוב נוספות. כלומר, כנגד היחיד קיימת</w:t>
      </w:r>
      <w:r w:rsidRPr="00707920">
        <w:rPr>
          <w:rFonts w:ascii="David" w:hAnsi="David"/>
        </w:rPr>
        <w:t xml:space="preserve"> </w:t>
      </w:r>
      <w:r w:rsidRPr="00707920">
        <w:rPr>
          <w:rFonts w:ascii="David" w:hAnsi="David"/>
          <w:rtl/>
        </w:rPr>
        <w:t xml:space="preserve">תביעת חוב יחידה שהיא אותה תביעת החוב למזונות בסכום של 1,244,000 ש"ח של הגרושה הראשונה ( פרק ה).   </w:t>
      </w:r>
    </w:p>
    <w:p w14:paraId="45B5465B" w14:textId="77777777" w:rsidR="00707920" w:rsidRPr="00707920" w:rsidRDefault="00707920" w:rsidP="00707920">
      <w:pPr>
        <w:numPr>
          <w:ilvl w:val="0"/>
          <w:numId w:val="2"/>
        </w:numPr>
        <w:ind w:hanging="531"/>
        <w:contextualSpacing/>
        <w:jc w:val="both"/>
        <w:rPr>
          <w:rFonts w:ascii="David" w:hAnsi="David"/>
          <w:rtl/>
        </w:rPr>
      </w:pPr>
      <w:r w:rsidRPr="00707920">
        <w:rPr>
          <w:rFonts w:ascii="David" w:hAnsi="David"/>
          <w:rtl/>
        </w:rPr>
        <w:t>יתירה מכך, לאחר חקירותיו, מצא הנאמן שליחיד</w:t>
      </w:r>
      <w:r w:rsidRPr="00707920">
        <w:rPr>
          <w:rFonts w:ascii="David" w:hAnsi="David"/>
        </w:rPr>
        <w:t xml:space="preserve"> </w:t>
      </w:r>
      <w:r w:rsidRPr="00707920">
        <w:rPr>
          <w:rFonts w:ascii="David" w:hAnsi="David"/>
          <w:rtl/>
        </w:rPr>
        <w:t xml:space="preserve">זכויות רק בנכס אחד שהוא הנכס לעיל ואין לו זכויות בנכסים נוספים. </w:t>
      </w:r>
    </w:p>
    <w:p w14:paraId="5658F2EA" w14:textId="77777777" w:rsidR="00707920" w:rsidRPr="00707920" w:rsidRDefault="00707920" w:rsidP="00707920">
      <w:pPr>
        <w:numPr>
          <w:ilvl w:val="0"/>
          <w:numId w:val="2"/>
        </w:numPr>
        <w:ind w:hanging="531"/>
        <w:contextualSpacing/>
        <w:jc w:val="both"/>
        <w:rPr>
          <w:rFonts w:ascii="David" w:hAnsi="David"/>
        </w:rPr>
      </w:pPr>
      <w:r w:rsidRPr="00707920">
        <w:rPr>
          <w:rFonts w:ascii="David" w:hAnsi="David"/>
          <w:rtl/>
        </w:rPr>
        <w:t xml:space="preserve">עוד נמצא שליחיד, </w:t>
      </w:r>
      <w:r w:rsidRPr="00707920">
        <w:rPr>
          <w:rFonts w:ascii="David" w:hAnsi="David"/>
          <w:b/>
          <w:bCs/>
          <w:rtl/>
        </w:rPr>
        <w:t>אין כושר השתכרות</w:t>
      </w:r>
      <w:r w:rsidRPr="00707920">
        <w:rPr>
          <w:rFonts w:ascii="David" w:hAnsi="David"/>
          <w:rtl/>
        </w:rPr>
        <w:t xml:space="preserve"> עקב גילו ועקב מצבו הבריאותי( פרק ד). ב"שורה התחתונה"</w:t>
      </w:r>
      <w:r w:rsidRPr="00707920">
        <w:rPr>
          <w:rFonts w:ascii="David" w:hAnsi="David"/>
        </w:rPr>
        <w:t xml:space="preserve">' </w:t>
      </w:r>
      <w:r w:rsidRPr="00707920">
        <w:rPr>
          <w:rFonts w:ascii="David" w:hAnsi="David"/>
          <w:rtl/>
        </w:rPr>
        <w:t xml:space="preserve">המלצת הנאמן בדו"ח הייתה </w:t>
      </w:r>
      <w:r w:rsidRPr="00707920">
        <w:rPr>
          <w:rFonts w:ascii="David" w:hAnsi="David"/>
        </w:rPr>
        <w:t xml:space="preserve"> </w:t>
      </w:r>
      <w:r w:rsidRPr="00707920">
        <w:rPr>
          <w:rFonts w:ascii="David" w:hAnsi="David"/>
          <w:rtl/>
        </w:rPr>
        <w:t xml:space="preserve">על תכנית פירעון לפיה </w:t>
      </w:r>
      <w:r w:rsidRPr="00707920">
        <w:rPr>
          <w:rFonts w:ascii="David" w:hAnsi="David"/>
          <w:b/>
          <w:bCs/>
          <w:rtl/>
        </w:rPr>
        <w:t xml:space="preserve">יפדו או ימומשו </w:t>
      </w:r>
      <w:r w:rsidRPr="00707920">
        <w:rPr>
          <w:rFonts w:ascii="David" w:hAnsi="David"/>
          <w:rtl/>
        </w:rPr>
        <w:t xml:space="preserve">זכויות היחיד בנכס. הנאמן מציין כי עם מימוש הזכויות ונוכח גובה חוב המזונות תברורו שיהיה בכך לשלם 100% מחובות היחיד ( פרק ח לדוח הממצאים).  </w:t>
      </w:r>
    </w:p>
    <w:p w14:paraId="2D6BDD64" w14:textId="77777777" w:rsidR="00707920" w:rsidRPr="00707920" w:rsidRDefault="00707920" w:rsidP="00707920">
      <w:pPr>
        <w:numPr>
          <w:ilvl w:val="0"/>
          <w:numId w:val="2"/>
        </w:numPr>
        <w:ind w:hanging="531"/>
        <w:contextualSpacing/>
        <w:jc w:val="both"/>
        <w:rPr>
          <w:rFonts w:ascii="David" w:hAnsi="David"/>
        </w:rPr>
      </w:pPr>
      <w:r w:rsidRPr="00707920">
        <w:rPr>
          <w:rFonts w:ascii="David" w:hAnsi="David"/>
          <w:rtl/>
        </w:rPr>
        <w:t>בהצעת הממונה צוין, כי</w:t>
      </w:r>
      <w:r w:rsidRPr="00707920">
        <w:rPr>
          <w:rFonts w:ascii="David" w:hAnsi="David"/>
        </w:rPr>
        <w:t xml:space="preserve"> </w:t>
      </w:r>
      <w:r w:rsidRPr="00707920">
        <w:rPr>
          <w:rFonts w:ascii="David" w:hAnsi="David"/>
          <w:rtl/>
        </w:rPr>
        <w:t xml:space="preserve">היחיד לא משתף פעולה עם הנאמן בשום צורה ואופן, ואף נכתב שהיחיד לא ממלא אחר הוראות בית המשפט. יצוין בהקשר זה </w:t>
      </w:r>
      <w:r w:rsidRPr="00707920">
        <w:rPr>
          <w:rFonts w:ascii="David" w:hAnsi="David"/>
          <w:noProof w:val="0"/>
          <w:rtl/>
        </w:rPr>
        <w:t>ש</w:t>
      </w:r>
      <w:r w:rsidRPr="00707920">
        <w:rPr>
          <w:rFonts w:ascii="David" w:hAnsi="David"/>
          <w:rtl/>
        </w:rPr>
        <w:t xml:space="preserve">היחיד,  אמנם התייצב לחקירה, שיתף פעולה, מסר מידע מלא, אך לא הגיש </w:t>
      </w:r>
      <w:r w:rsidRPr="00707920">
        <w:rPr>
          <w:rFonts w:ascii="David" w:hAnsi="David"/>
          <w:b/>
          <w:bCs/>
          <w:rtl/>
        </w:rPr>
        <w:t>ולו דוח דו חודשי אחד ובכך כמובן שהקשה על ההתחקות אחר יכולת הפירעון ממנו</w:t>
      </w:r>
      <w:r w:rsidRPr="00707920">
        <w:rPr>
          <w:rFonts w:ascii="David" w:hAnsi="David"/>
          <w:b/>
          <w:bCs/>
        </w:rPr>
        <w:t xml:space="preserve"> </w:t>
      </w:r>
      <w:r w:rsidRPr="00707920">
        <w:rPr>
          <w:rFonts w:ascii="David" w:hAnsi="David"/>
          <w:rtl/>
        </w:rPr>
        <w:t>.</w:t>
      </w:r>
    </w:p>
    <w:p w14:paraId="1E190BC3" w14:textId="77777777" w:rsidR="00707920" w:rsidRPr="00707920" w:rsidRDefault="00707920" w:rsidP="00707920">
      <w:pPr>
        <w:ind w:left="501"/>
        <w:contextualSpacing/>
        <w:jc w:val="both"/>
        <w:rPr>
          <w:rFonts w:ascii="David" w:hAnsi="David"/>
        </w:rPr>
      </w:pPr>
    </w:p>
    <w:p w14:paraId="41E507CA" w14:textId="77777777" w:rsidR="00707920" w:rsidRPr="00707920" w:rsidRDefault="00707920" w:rsidP="00707920">
      <w:pPr>
        <w:pStyle w:val="3"/>
        <w:rPr>
          <w:rFonts w:ascii="David" w:hAnsi="David" w:cs="David"/>
          <w:rtl/>
        </w:rPr>
      </w:pPr>
      <w:bookmarkStart w:id="5" w:name="_Toc168898752"/>
      <w:r w:rsidRPr="00707920">
        <w:rPr>
          <w:rFonts w:ascii="David" w:hAnsi="David" w:cs="David"/>
          <w:rtl/>
        </w:rPr>
        <w:t>ב(2) רישום הזכויות בנכס ברמ"י והליכים שהיו לגביו מצד הגרושה הראשונה אך גם ההליכים שהיו לגביו מצד הגרושה השניה וההכרעות שנתנו בגדרם</w:t>
      </w:r>
      <w:bookmarkEnd w:id="5"/>
      <w:r w:rsidRPr="00707920">
        <w:rPr>
          <w:rFonts w:ascii="David" w:hAnsi="David" w:cs="David"/>
          <w:rtl/>
        </w:rPr>
        <w:t xml:space="preserve"> </w:t>
      </w:r>
      <w:r w:rsidRPr="00707920">
        <w:rPr>
          <w:rFonts w:ascii="David" w:hAnsi="David" w:cs="David"/>
        </w:rPr>
        <w:t xml:space="preserve"> </w:t>
      </w:r>
    </w:p>
    <w:p w14:paraId="0A68A2F5" w14:textId="77777777" w:rsidR="00707920" w:rsidRPr="00707920" w:rsidRDefault="00707920" w:rsidP="00707920">
      <w:pPr>
        <w:rPr>
          <w:rFonts w:ascii="David" w:hAnsi="David"/>
          <w:rtl/>
        </w:rPr>
      </w:pPr>
    </w:p>
    <w:p w14:paraId="6B404AEC" w14:textId="77777777" w:rsidR="00707920" w:rsidRPr="00707920" w:rsidRDefault="00707920" w:rsidP="00707920">
      <w:pPr>
        <w:numPr>
          <w:ilvl w:val="0"/>
          <w:numId w:val="2"/>
        </w:numPr>
        <w:ind w:hanging="531"/>
        <w:contextualSpacing/>
        <w:jc w:val="both"/>
        <w:rPr>
          <w:rFonts w:ascii="David" w:hAnsi="David"/>
        </w:rPr>
      </w:pPr>
      <w:r w:rsidRPr="00707920">
        <w:rPr>
          <w:rFonts w:ascii="David" w:hAnsi="David"/>
          <w:rtl/>
        </w:rPr>
        <w:t>הזכויות בנכס רשומות בברמ"י .על שם היחיד,  עודן רשומות, מחצית מהזכויות בנכס  (פרק  ו לדוח הממצאים</w:t>
      </w:r>
      <w:r w:rsidRPr="00707920">
        <w:rPr>
          <w:rFonts w:ascii="David" w:hAnsi="David"/>
        </w:rPr>
        <w:t xml:space="preserve">(  </w:t>
      </w:r>
      <w:r w:rsidRPr="00707920">
        <w:rPr>
          <w:rFonts w:ascii="David" w:hAnsi="David"/>
          <w:rtl/>
        </w:rPr>
        <w:t xml:space="preserve"> </w:t>
      </w:r>
      <w:r w:rsidRPr="00707920">
        <w:rPr>
          <w:rFonts w:ascii="David" w:hAnsi="David" w:hint="cs"/>
          <w:rtl/>
        </w:rPr>
        <w:t>זכויותיו נרשמו לכאורה החל</w:t>
      </w:r>
      <w:r w:rsidRPr="00707920">
        <w:rPr>
          <w:rFonts w:ascii="David" w:hAnsi="David"/>
        </w:rPr>
        <w:t xml:space="preserve"> </w:t>
      </w:r>
      <w:r w:rsidRPr="00707920">
        <w:rPr>
          <w:rFonts w:ascii="David" w:hAnsi="David"/>
          <w:rtl/>
        </w:rPr>
        <w:t>משנת 1978 (</w:t>
      </w:r>
      <w:r w:rsidRPr="00707920">
        <w:rPr>
          <w:rFonts w:ascii="David" w:hAnsi="David"/>
          <w:highlight w:val="yellow"/>
          <w:rtl/>
        </w:rPr>
        <w:t>)</w:t>
      </w:r>
      <w:r w:rsidRPr="00707920">
        <w:rPr>
          <w:rFonts w:ascii="David" w:hAnsi="David"/>
          <w:rtl/>
        </w:rPr>
        <w:t xml:space="preserve">  מחצית האחרת  של הזכויות בנכס, רשומות על שם הגברת יונה חדד(י.ח) שהיא גרושתו השניה (להלן:" </w:t>
      </w:r>
      <w:r w:rsidRPr="00707920">
        <w:rPr>
          <w:rFonts w:ascii="David" w:hAnsi="David"/>
          <w:b/>
          <w:bCs/>
          <w:rtl/>
        </w:rPr>
        <w:t>הגרושה השנייה</w:t>
      </w:r>
      <w:r w:rsidRPr="00707920">
        <w:rPr>
          <w:rFonts w:ascii="David" w:hAnsi="David"/>
          <w:rtl/>
        </w:rPr>
        <w:t xml:space="preserve">"). אישור הזכויות מרמ"י  ,שנערך ביום 16.5.23 צורף כנספח 1 לבקשה לפירוק שיתוף. היחיד, </w:t>
      </w:r>
      <w:r w:rsidRPr="00707920">
        <w:rPr>
          <w:rFonts w:ascii="David" w:hAnsi="David"/>
          <w:b/>
          <w:bCs/>
          <w:rtl/>
        </w:rPr>
        <w:t>גר גם כיום</w:t>
      </w:r>
      <w:r w:rsidRPr="00707920">
        <w:rPr>
          <w:rFonts w:ascii="David" w:hAnsi="David"/>
          <w:rtl/>
        </w:rPr>
        <w:t xml:space="preserve">, בנכס בצוותא עם הגרושה השנייה  (סעיף 10 לבקשה לפירוק שיתוף). </w:t>
      </w:r>
    </w:p>
    <w:p w14:paraId="1C87293C" w14:textId="77777777" w:rsidR="00707920" w:rsidRPr="00707920" w:rsidRDefault="00707920" w:rsidP="00707920">
      <w:pPr>
        <w:pStyle w:val="3"/>
        <w:rPr>
          <w:rFonts w:ascii="David" w:hAnsi="David" w:cs="David"/>
        </w:rPr>
      </w:pPr>
    </w:p>
    <w:p w14:paraId="0845B30C" w14:textId="77777777" w:rsidR="00707920" w:rsidRPr="00707920" w:rsidRDefault="00707920" w:rsidP="00707920">
      <w:pPr>
        <w:pStyle w:val="3"/>
        <w:rPr>
          <w:rFonts w:ascii="David" w:hAnsi="David" w:cs="David"/>
          <w:rtl/>
        </w:rPr>
      </w:pPr>
      <w:bookmarkStart w:id="6" w:name="_Toc168898753"/>
      <w:r w:rsidRPr="00707920">
        <w:rPr>
          <w:rFonts w:ascii="David" w:hAnsi="David" w:cs="David"/>
          <w:rtl/>
        </w:rPr>
        <w:t>ב(3) לבקשת הגרושה הראשונה הוטל בהוצל"פ עיקול על הזכויות של היחיד בנכס</w:t>
      </w:r>
      <w:bookmarkEnd w:id="6"/>
      <w:r w:rsidRPr="00707920">
        <w:rPr>
          <w:rFonts w:ascii="David" w:hAnsi="David" w:cs="David"/>
        </w:rPr>
        <w:t xml:space="preserve"> </w:t>
      </w:r>
    </w:p>
    <w:p w14:paraId="74F29B70" w14:textId="77777777" w:rsidR="00707920" w:rsidRPr="00707920" w:rsidRDefault="00707920" w:rsidP="00707920">
      <w:pPr>
        <w:rPr>
          <w:rFonts w:ascii="David" w:hAnsi="David"/>
          <w:rtl/>
        </w:rPr>
      </w:pPr>
    </w:p>
    <w:p w14:paraId="1A420DDA" w14:textId="2E55CED8" w:rsidR="00707920" w:rsidRPr="00707920" w:rsidRDefault="00707920" w:rsidP="00707920">
      <w:pPr>
        <w:numPr>
          <w:ilvl w:val="0"/>
          <w:numId w:val="2"/>
        </w:numPr>
        <w:suppressLineNumbers/>
        <w:ind w:hanging="531"/>
        <w:contextualSpacing/>
        <w:jc w:val="both"/>
        <w:rPr>
          <w:rFonts w:ascii="David" w:hAnsi="David"/>
          <w:b/>
          <w:bCs/>
        </w:rPr>
      </w:pPr>
      <w:r w:rsidRPr="00707920">
        <w:rPr>
          <w:rFonts w:ascii="David" w:hAnsi="David"/>
          <w:rtl/>
        </w:rPr>
        <w:t xml:space="preserve">הגרושה הראשונה, הטילה כבר בשנת 1998 עיקול על זכויות היחיד כפי שהיו רשומות אז ברמ"י. העיקול הוטל בתיק הוצל"פ שמספרו 1613949924 ( ס' 13 לבקשת  פירוק) ודומה שמכוח ס' </w:t>
      </w:r>
      <w:r w:rsidRPr="00707920">
        <w:rPr>
          <w:rFonts w:ascii="David" w:hAnsi="David"/>
          <w:b/>
          <w:bCs/>
          <w:rtl/>
        </w:rPr>
        <w:t xml:space="preserve">34 לחוק ההוצאה לפועל. </w:t>
      </w:r>
      <w:r w:rsidRPr="00707920">
        <w:rPr>
          <w:rFonts w:ascii="David" w:hAnsi="David"/>
          <w:rtl/>
        </w:rPr>
        <w:t>דבר קיום העיקול מתנוסס באישור הזכוי</w:t>
      </w:r>
      <w:r w:rsidR="000A461F">
        <w:rPr>
          <w:rFonts w:ascii="David" w:hAnsi="David" w:hint="cs"/>
          <w:rtl/>
        </w:rPr>
        <w:t>ו</w:t>
      </w:r>
      <w:r w:rsidRPr="00707920">
        <w:rPr>
          <w:rFonts w:ascii="David" w:hAnsi="David"/>
          <w:rtl/>
        </w:rPr>
        <w:t xml:space="preserve">ת . </w:t>
      </w:r>
    </w:p>
    <w:p w14:paraId="731A28E7" w14:textId="77777777" w:rsidR="00707920" w:rsidRPr="00707920" w:rsidRDefault="00707920" w:rsidP="00707920">
      <w:pPr>
        <w:rPr>
          <w:rFonts w:ascii="David" w:hAnsi="David"/>
        </w:rPr>
      </w:pPr>
      <w:r w:rsidRPr="00707920">
        <w:rPr>
          <w:rFonts w:ascii="David" w:hAnsi="David"/>
          <w:rtl/>
        </w:rPr>
        <w:t xml:space="preserve"> </w:t>
      </w:r>
    </w:p>
    <w:p w14:paraId="4DA01569" w14:textId="77777777" w:rsidR="00707920" w:rsidRPr="00707920" w:rsidRDefault="00707920" w:rsidP="00707920">
      <w:pPr>
        <w:pStyle w:val="3"/>
        <w:rPr>
          <w:rFonts w:ascii="David" w:hAnsi="David" w:cs="David"/>
        </w:rPr>
      </w:pPr>
      <w:bookmarkStart w:id="7" w:name="_Toc168898754"/>
      <w:r w:rsidRPr="00707920">
        <w:rPr>
          <w:rFonts w:ascii="David" w:hAnsi="David" w:cs="David"/>
          <w:rtl/>
        </w:rPr>
        <w:t>ב(4) הליך בוררות שהתנהל שבין היחיד לבין הגרושה השניה</w:t>
      </w:r>
      <w:bookmarkEnd w:id="7"/>
      <w:r w:rsidRPr="00707920">
        <w:rPr>
          <w:rFonts w:ascii="David" w:hAnsi="David" w:cs="David"/>
          <w:rtl/>
        </w:rPr>
        <w:t xml:space="preserve"> </w:t>
      </w:r>
    </w:p>
    <w:p w14:paraId="116241C7" w14:textId="77777777" w:rsidR="00707920" w:rsidRPr="00707920" w:rsidRDefault="00707920" w:rsidP="00707920">
      <w:pPr>
        <w:numPr>
          <w:ilvl w:val="0"/>
          <w:numId w:val="2"/>
        </w:numPr>
        <w:ind w:hanging="531"/>
        <w:contextualSpacing/>
        <w:jc w:val="both"/>
        <w:rPr>
          <w:rFonts w:ascii="David" w:hAnsi="David"/>
        </w:rPr>
      </w:pPr>
      <w:r w:rsidRPr="00707920">
        <w:rPr>
          <w:rFonts w:ascii="David" w:hAnsi="David"/>
          <w:rtl/>
        </w:rPr>
        <w:t xml:space="preserve">הגרושה השניה, והיחיד ניהלו  הליך בוררות </w:t>
      </w:r>
      <w:r w:rsidRPr="00707920">
        <w:rPr>
          <w:rFonts w:ascii="David" w:hAnsi="David"/>
        </w:rPr>
        <w:t xml:space="preserve"> </w:t>
      </w:r>
      <w:r w:rsidRPr="00707920">
        <w:rPr>
          <w:rFonts w:ascii="David" w:hAnsi="David"/>
          <w:rtl/>
        </w:rPr>
        <w:t>מול רב. ( ר' בחותמת הפסק ובהתייחסות הצדדים).ביום 21.1.00 ,דהיינו לפני כ24 שנים, ניתן פסק הבורר</w:t>
      </w:r>
      <w:r w:rsidRPr="00707920">
        <w:rPr>
          <w:rFonts w:ascii="David" w:hAnsi="David"/>
        </w:rPr>
        <w:t xml:space="preserve"> </w:t>
      </w:r>
      <w:r w:rsidRPr="00707920">
        <w:rPr>
          <w:rFonts w:ascii="David" w:hAnsi="David"/>
          <w:rtl/>
        </w:rPr>
        <w:t>שקבע שהנכס במלואו, שייך לגרושה השנייה</w:t>
      </w:r>
      <w:r w:rsidRPr="00707920">
        <w:rPr>
          <w:rFonts w:ascii="David" w:hAnsi="David"/>
        </w:rPr>
        <w:t xml:space="preserve"> </w:t>
      </w:r>
      <w:r w:rsidRPr="00707920">
        <w:rPr>
          <w:rFonts w:ascii="David" w:hAnsi="David"/>
          <w:rtl/>
        </w:rPr>
        <w:t>ולא ליחיד. אולם,  הגרושה הראשונה, לא הייתה צד לבוררות.</w:t>
      </w:r>
    </w:p>
    <w:p w14:paraId="0182209A" w14:textId="77777777" w:rsidR="00707920" w:rsidRPr="00707920" w:rsidRDefault="00707920" w:rsidP="00707920">
      <w:pPr>
        <w:numPr>
          <w:ilvl w:val="0"/>
          <w:numId w:val="2"/>
        </w:numPr>
        <w:ind w:hanging="531"/>
        <w:contextualSpacing/>
        <w:jc w:val="both"/>
        <w:rPr>
          <w:rFonts w:ascii="David" w:hAnsi="David"/>
        </w:rPr>
      </w:pPr>
      <w:r w:rsidRPr="00707920">
        <w:rPr>
          <w:rFonts w:ascii="David" w:hAnsi="David"/>
          <w:rtl/>
        </w:rPr>
        <w:lastRenderedPageBreak/>
        <w:t xml:space="preserve">הבורר, ציין, בין היתר, </w:t>
      </w:r>
      <w:r w:rsidRPr="00707920">
        <w:rPr>
          <w:rFonts w:ascii="David" w:hAnsi="David"/>
        </w:rPr>
        <w:t xml:space="preserve"> </w:t>
      </w:r>
      <w:r w:rsidRPr="00707920">
        <w:rPr>
          <w:rFonts w:ascii="David" w:hAnsi="David"/>
          <w:rtl/>
        </w:rPr>
        <w:t xml:space="preserve">שהוכח בפניו שהנכס כולל הבית,  ש נבנה </w:t>
      </w:r>
      <w:r w:rsidRPr="00707920">
        <w:rPr>
          <w:rFonts w:ascii="David" w:hAnsi="David"/>
        </w:rPr>
        <w:t xml:space="preserve">   </w:t>
      </w:r>
      <w:r w:rsidRPr="00707920">
        <w:rPr>
          <w:rFonts w:ascii="David" w:hAnsi="David"/>
          <w:rtl/>
        </w:rPr>
        <w:t xml:space="preserve">מכספי הפיצויים של הגרושה השנייה </w:t>
      </w:r>
      <w:r w:rsidRPr="00707920">
        <w:rPr>
          <w:rFonts w:ascii="David" w:hAnsi="David"/>
        </w:rPr>
        <w:t xml:space="preserve"> </w:t>
      </w:r>
      <w:r w:rsidRPr="00707920">
        <w:rPr>
          <w:rFonts w:ascii="David" w:hAnsi="David"/>
          <w:rtl/>
        </w:rPr>
        <w:t xml:space="preserve">שייך לה, ושהיחיד לא שילם גם לגרושה השנייה </w:t>
      </w:r>
      <w:r w:rsidRPr="00707920">
        <w:rPr>
          <w:rFonts w:ascii="David" w:hAnsi="David"/>
        </w:rPr>
        <w:t xml:space="preserve"> </w:t>
      </w:r>
      <w:r w:rsidRPr="00707920">
        <w:rPr>
          <w:rFonts w:ascii="David" w:hAnsi="David"/>
          <w:rtl/>
        </w:rPr>
        <w:t>את מזונותיה.</w:t>
      </w:r>
      <w:r w:rsidRPr="00707920">
        <w:rPr>
          <w:rFonts w:ascii="David" w:hAnsi="David"/>
        </w:rPr>
        <w:t xml:space="preserve"> </w:t>
      </w:r>
      <w:r w:rsidRPr="00707920">
        <w:rPr>
          <w:rFonts w:ascii="David" w:hAnsi="David"/>
          <w:rtl/>
        </w:rPr>
        <w:t xml:space="preserve">בפסק הבורר קיימת התייחסות מסוימת לתביעת המזונות של הגרושה הראשונה ולכך שהמשק והבית נמצאים בהליכי הוצל"פ, תוך התייחסות לא לגמרי ברורה לאפשרות של עיקול כאשר </w:t>
      </w:r>
      <w:r w:rsidRPr="00707920">
        <w:rPr>
          <w:rFonts w:ascii="David" w:hAnsi="David"/>
        </w:rPr>
        <w:t xml:space="preserve"> </w:t>
      </w:r>
      <w:r w:rsidRPr="00707920">
        <w:rPr>
          <w:rFonts w:ascii="David" w:hAnsi="David"/>
          <w:rtl/>
        </w:rPr>
        <w:t>הבורר פונה למעשה ו</w:t>
      </w:r>
      <w:r w:rsidRPr="00707920">
        <w:rPr>
          <w:rFonts w:ascii="David" w:hAnsi="David"/>
        </w:rPr>
        <w:t xml:space="preserve"> </w:t>
      </w:r>
      <w:r w:rsidRPr="00707920">
        <w:rPr>
          <w:rFonts w:ascii="David" w:hAnsi="David"/>
          <w:rtl/>
        </w:rPr>
        <w:t xml:space="preserve"> "לבית הדין הרבני ,ו/או לבית המשפט , ו/או לרשהוצל"פ </w:t>
      </w:r>
      <w:r w:rsidRPr="00707920">
        <w:rPr>
          <w:rFonts w:ascii="David" w:hAnsi="David"/>
          <w:b/>
          <w:bCs/>
          <w:rtl/>
        </w:rPr>
        <w:t>שבמידה והנ"ל תבקש צווי מניעה או הערת אזהרה, או עיקול ל</w:t>
      </w:r>
      <w:r w:rsidRPr="00707920">
        <w:rPr>
          <w:rFonts w:ascii="David" w:hAnsi="David"/>
          <w:rtl/>
        </w:rPr>
        <w:t xml:space="preserve">היענות לבקשה כדי למנוע </w:t>
      </w:r>
      <w:r w:rsidRPr="00707920">
        <w:rPr>
          <w:rFonts w:ascii="David" w:hAnsi="David"/>
          <w:b/>
          <w:bCs/>
          <w:rtl/>
        </w:rPr>
        <w:t xml:space="preserve">נישול אישה עשוקה זו </w:t>
      </w:r>
      <w:r w:rsidRPr="00707920">
        <w:rPr>
          <w:rFonts w:ascii="David" w:hAnsi="David"/>
          <w:rtl/>
        </w:rPr>
        <w:t>מנכסיה המועטים והדלים עד יתקיים דיון מסודר" ( הדגשה לא במקור א.ב.) בפסק,  אין התייחסות בהירה כלשהיא לאומדן הנכס דאז.</w:t>
      </w:r>
    </w:p>
    <w:p w14:paraId="782954FC" w14:textId="77777777" w:rsidR="00707920" w:rsidRPr="00707920" w:rsidRDefault="00707920" w:rsidP="00707920">
      <w:pPr>
        <w:jc w:val="both"/>
        <w:rPr>
          <w:rFonts w:ascii="David" w:hAnsi="David"/>
          <w:rtl/>
        </w:rPr>
      </w:pPr>
    </w:p>
    <w:p w14:paraId="64AE4BB8" w14:textId="77777777" w:rsidR="00707920" w:rsidRPr="00707920" w:rsidRDefault="00707920" w:rsidP="00707920">
      <w:pPr>
        <w:numPr>
          <w:ilvl w:val="0"/>
          <w:numId w:val="2"/>
        </w:numPr>
        <w:ind w:hanging="531"/>
        <w:contextualSpacing/>
        <w:jc w:val="both"/>
        <w:rPr>
          <w:rFonts w:ascii="David" w:hAnsi="David"/>
        </w:rPr>
      </w:pPr>
      <w:r w:rsidRPr="00707920">
        <w:rPr>
          <w:rFonts w:ascii="David" w:hAnsi="David"/>
          <w:rtl/>
        </w:rPr>
        <w:t>פסק הבורר, אושר כבר ביום 29.10.18  בביהמ"ש המחוזי בתל אביב, ע"י כב' השופטת פלאוט שנעתרה לבקשה מוסכמת לאישורו אותה גישו במשותף הגרושה השנייה והיחיד (ע' 48  לבקשת הנאמן ר) היחיד, אישר שלא התגונן מטענות הגרושה (ראו גם ס' 20 לתגובתו לבקשת הנאמן).</w:t>
      </w:r>
    </w:p>
    <w:p w14:paraId="0D9BC71C" w14:textId="77777777" w:rsidR="00707920" w:rsidRPr="00707920" w:rsidRDefault="00707920" w:rsidP="00707920">
      <w:pPr>
        <w:pStyle w:val="af4"/>
        <w:numPr>
          <w:ilvl w:val="0"/>
          <w:numId w:val="4"/>
        </w:numPr>
        <w:suppressLineNumbers/>
        <w:spacing w:line="240" w:lineRule="auto"/>
        <w:rPr>
          <w:rFonts w:ascii="David" w:hAnsi="David" w:cs="David"/>
          <w:sz w:val="2"/>
          <w:szCs w:val="2"/>
        </w:rPr>
      </w:pPr>
      <w:r w:rsidRPr="00707920">
        <w:rPr>
          <w:rFonts w:ascii="David" w:hAnsi="David" w:cs="David"/>
          <w:rtl/>
        </w:rPr>
        <w:t xml:space="preserve"> </w:t>
      </w:r>
    </w:p>
    <w:p w14:paraId="2C323AEA" w14:textId="77777777" w:rsidR="00707920" w:rsidRPr="00707920" w:rsidRDefault="00707920" w:rsidP="00707920">
      <w:pPr>
        <w:pStyle w:val="af4"/>
        <w:suppressLineNumbers/>
        <w:spacing w:line="240" w:lineRule="auto"/>
        <w:rPr>
          <w:rFonts w:ascii="David" w:hAnsi="David" w:cs="David"/>
          <w:sz w:val="14"/>
          <w:szCs w:val="14"/>
        </w:rPr>
      </w:pPr>
    </w:p>
    <w:p w14:paraId="1E0AF043" w14:textId="77777777" w:rsidR="00707920" w:rsidRPr="00707920" w:rsidRDefault="00707920" w:rsidP="00707920">
      <w:pPr>
        <w:pStyle w:val="3"/>
        <w:rPr>
          <w:rFonts w:ascii="David" w:hAnsi="David" w:cs="David"/>
          <w:rtl/>
        </w:rPr>
      </w:pPr>
      <w:bookmarkStart w:id="8" w:name="_Toc168898755"/>
      <w:r w:rsidRPr="00707920">
        <w:rPr>
          <w:rFonts w:ascii="David" w:hAnsi="David" w:cs="David"/>
          <w:rtl/>
        </w:rPr>
        <w:t>ב(5) המרצת הפתיחה 14485-05-14 שהגישה הגרושה הראשונה לבית המשפט לעניני משפחה לאחר הליך הבורות מול הגרושה השניה</w:t>
      </w:r>
      <w:bookmarkEnd w:id="8"/>
      <w:r w:rsidRPr="00707920">
        <w:rPr>
          <w:rFonts w:ascii="David" w:hAnsi="David" w:cs="David"/>
          <w:rtl/>
        </w:rPr>
        <w:t xml:space="preserve">  </w:t>
      </w:r>
    </w:p>
    <w:p w14:paraId="24AFF83C" w14:textId="71BE1DA9" w:rsidR="00707920" w:rsidRPr="00707920" w:rsidRDefault="00707920" w:rsidP="00707920">
      <w:pPr>
        <w:numPr>
          <w:ilvl w:val="0"/>
          <w:numId w:val="2"/>
        </w:numPr>
        <w:ind w:hanging="531"/>
        <w:contextualSpacing/>
        <w:jc w:val="both"/>
        <w:rPr>
          <w:rFonts w:ascii="David" w:hAnsi="David"/>
        </w:rPr>
      </w:pPr>
      <w:r w:rsidRPr="00707920">
        <w:rPr>
          <w:rFonts w:ascii="David" w:hAnsi="David"/>
          <w:rtl/>
        </w:rPr>
        <w:t>במאי 2014, הגישה הגרושה הראשונה המרצת פתיחה לבית המשפט לענייני משפחה בתל אביב וביקשה בה לבטל את  פסק הבורר תמ"ש  מספר 14485-05-14   ( להלן תכונה גם:"</w:t>
      </w:r>
      <w:r w:rsidRPr="00707920">
        <w:rPr>
          <w:rFonts w:ascii="David" w:hAnsi="David"/>
          <w:b/>
          <w:bCs/>
          <w:rtl/>
        </w:rPr>
        <w:t xml:space="preserve">המרצת הפתיחה שהגישה הגרושה הראשונה  לביטול פסק הבורר" ה"פ </w:t>
      </w:r>
      <w:r w:rsidRPr="00707920">
        <w:rPr>
          <w:rFonts w:ascii="David" w:hAnsi="David"/>
          <w:rtl/>
        </w:rPr>
        <w:t>14485-05-14</w:t>
      </w:r>
      <w:r w:rsidRPr="00707920">
        <w:rPr>
          <w:rFonts w:ascii="David" w:hAnsi="David"/>
          <w:b/>
          <w:bCs/>
          <w:rtl/>
        </w:rPr>
        <w:t>)</w:t>
      </w:r>
      <w:r w:rsidRPr="00707920">
        <w:rPr>
          <w:rFonts w:ascii="David" w:hAnsi="David"/>
          <w:rtl/>
        </w:rPr>
        <w:t>. הגרושה הראשונה טענה, בין היתר, שההסכם לפנייה</w:t>
      </w:r>
      <w:r w:rsidRPr="00707920">
        <w:rPr>
          <w:rFonts w:ascii="David" w:hAnsi="David"/>
        </w:rPr>
        <w:t xml:space="preserve"> </w:t>
      </w:r>
      <w:r w:rsidRPr="00707920">
        <w:rPr>
          <w:rFonts w:ascii="David" w:hAnsi="David"/>
          <w:rtl/>
        </w:rPr>
        <w:t>לבוררות נעשה למראית עין, במטרה להבריח את רכוש היחיד לגרושה השנייה ובכוונת זדון כדי להתחמק  מתשלום מזונות</w:t>
      </w:r>
      <w:r w:rsidRPr="00707920">
        <w:rPr>
          <w:rFonts w:ascii="David" w:hAnsi="David"/>
        </w:rPr>
        <w:t xml:space="preserve"> </w:t>
      </w:r>
      <w:r w:rsidRPr="00707920">
        <w:rPr>
          <w:rFonts w:ascii="David" w:hAnsi="David"/>
          <w:rtl/>
        </w:rPr>
        <w:t xml:space="preserve">( ס' 3 ע' 25 לבקשת הפירוק שהגיש הנאמן) הגרושה הראשונה </w:t>
      </w:r>
      <w:r w:rsidRPr="00707920">
        <w:rPr>
          <w:rFonts w:ascii="David" w:hAnsi="David"/>
        </w:rPr>
        <w:t xml:space="preserve"> </w:t>
      </w:r>
      <w:r w:rsidRPr="00707920">
        <w:rPr>
          <w:rFonts w:ascii="David" w:hAnsi="David"/>
          <w:rtl/>
        </w:rPr>
        <w:t xml:space="preserve">ציינה, בין היתר, גם שבהסכם הגירושין ביניהם נקבע כי "יחידת המשק </w:t>
      </w:r>
      <w:r w:rsidRPr="00707920">
        <w:rPr>
          <w:rFonts w:ascii="David" w:hAnsi="David"/>
        </w:rPr>
        <w:t xml:space="preserve"> </w:t>
      </w:r>
      <w:r w:rsidRPr="00707920">
        <w:rPr>
          <w:rFonts w:ascii="David" w:hAnsi="David"/>
          <w:rtl/>
        </w:rPr>
        <w:t xml:space="preserve">הרשומה על שם הבעל במשק בני ראם, </w:t>
      </w:r>
      <w:r w:rsidRPr="00707920">
        <w:rPr>
          <w:rFonts w:ascii="David" w:hAnsi="David"/>
          <w:b/>
          <w:bCs/>
          <w:rtl/>
        </w:rPr>
        <w:t>תשאר על שמו</w:t>
      </w:r>
      <w:r w:rsidRPr="00707920">
        <w:rPr>
          <w:rFonts w:ascii="David" w:hAnsi="David"/>
          <w:rtl/>
        </w:rPr>
        <w:t xml:space="preserve"> והאב מתחייב כי 50% מהמשק על כל הנימצא בו ומחובר אליו ביום חתימת הסכם </w:t>
      </w:r>
      <w:r w:rsidRPr="00707920">
        <w:rPr>
          <w:rFonts w:ascii="David" w:hAnsi="David"/>
          <w:b/>
          <w:bCs/>
          <w:rtl/>
        </w:rPr>
        <w:t>זה יהיו לזכ</w:t>
      </w:r>
      <w:r w:rsidR="006B5497">
        <w:rPr>
          <w:rFonts w:ascii="David" w:hAnsi="David" w:hint="cs"/>
          <w:b/>
          <w:bCs/>
          <w:rtl/>
        </w:rPr>
        <w:t>ו</w:t>
      </w:r>
      <w:r w:rsidRPr="00707920">
        <w:rPr>
          <w:rFonts w:ascii="David" w:hAnsi="David"/>
          <w:b/>
          <w:bCs/>
          <w:rtl/>
        </w:rPr>
        <w:t>יות שני ילדיו לאחר אריכות ימים ושנים</w:t>
      </w:r>
      <w:r w:rsidRPr="00707920">
        <w:rPr>
          <w:rFonts w:ascii="David" w:hAnsi="David"/>
          <w:rtl/>
        </w:rPr>
        <w:t xml:space="preserve"> "( ס' 5 עמוד 27 לבקשת הפירוק).  </w:t>
      </w:r>
    </w:p>
    <w:p w14:paraId="0DD2CAA0" w14:textId="77777777" w:rsidR="00707920" w:rsidRPr="00707920" w:rsidRDefault="00707920" w:rsidP="00707920">
      <w:pPr>
        <w:numPr>
          <w:ilvl w:val="0"/>
          <w:numId w:val="2"/>
        </w:numPr>
        <w:ind w:hanging="531"/>
        <w:contextualSpacing/>
        <w:jc w:val="both"/>
        <w:rPr>
          <w:rFonts w:ascii="David" w:hAnsi="David"/>
        </w:rPr>
      </w:pPr>
      <w:r w:rsidRPr="00707920">
        <w:rPr>
          <w:rFonts w:ascii="David" w:hAnsi="David"/>
          <w:rtl/>
        </w:rPr>
        <w:t>המרצת הפתיחה שהגישה הגרושה הראשונה  נמחקה בהסכמה כבר ביום 18.12.14 בהחלטה שצופה במפורש את המשך ההליכים ביניהם משנכתב</w:t>
      </w:r>
      <w:r w:rsidRPr="00707920">
        <w:rPr>
          <w:rFonts w:ascii="David" w:hAnsi="David"/>
        </w:rPr>
        <w:t xml:space="preserve"> </w:t>
      </w:r>
      <w:r w:rsidRPr="00707920">
        <w:rPr>
          <w:rFonts w:ascii="David" w:hAnsi="David"/>
          <w:rtl/>
        </w:rPr>
        <w:t xml:space="preserve"> בין היתר: "תוך שברור לי שאין מדובר בסוף להליכים שבין הצדדים" ( פסק הדין בהמרצה  צורף כנספח 7 לבקשת הנאמן לפירוק). </w:t>
      </w:r>
    </w:p>
    <w:p w14:paraId="6AB411C5" w14:textId="77777777" w:rsidR="00707920" w:rsidRPr="00707920" w:rsidRDefault="00707920" w:rsidP="00707920">
      <w:pPr>
        <w:pStyle w:val="3"/>
        <w:rPr>
          <w:rFonts w:ascii="David" w:hAnsi="David" w:cs="David"/>
        </w:rPr>
      </w:pPr>
      <w:bookmarkStart w:id="9" w:name="_Toc168898756"/>
      <w:r w:rsidRPr="00707920">
        <w:rPr>
          <w:rFonts w:ascii="David" w:hAnsi="David" w:cs="David"/>
          <w:rtl/>
        </w:rPr>
        <w:t>ב(6) המרצת פתיחה 68985-05-18 שהגישה הגרושה השניה לביהמ"ש המחוזי מרכז לרישום מלוא הזכויות בנכס על שם הגרושה השנייה (וזאת למרות העיקול בהליך שרמ"י הייתה צד לו אך לא הגרושה הראשונה).</w:t>
      </w:r>
      <w:bookmarkEnd w:id="9"/>
      <w:r w:rsidRPr="00707920">
        <w:rPr>
          <w:rFonts w:ascii="David" w:hAnsi="David" w:cs="David"/>
          <w:rtl/>
        </w:rPr>
        <w:t xml:space="preserve"> </w:t>
      </w:r>
    </w:p>
    <w:p w14:paraId="191AB4DF" w14:textId="77777777" w:rsidR="00707920" w:rsidRPr="00707920" w:rsidRDefault="00707920" w:rsidP="00707920">
      <w:pPr>
        <w:rPr>
          <w:rFonts w:ascii="David" w:hAnsi="David"/>
          <w:rtl/>
        </w:rPr>
      </w:pPr>
    </w:p>
    <w:p w14:paraId="30997D9E" w14:textId="77777777" w:rsidR="00707920" w:rsidRPr="00707920" w:rsidRDefault="00707920" w:rsidP="00707920">
      <w:pPr>
        <w:numPr>
          <w:ilvl w:val="0"/>
          <w:numId w:val="2"/>
        </w:numPr>
        <w:suppressLineNumbers/>
        <w:ind w:hanging="531"/>
        <w:contextualSpacing/>
        <w:jc w:val="both"/>
        <w:rPr>
          <w:rFonts w:ascii="David" w:hAnsi="David"/>
        </w:rPr>
      </w:pPr>
      <w:r w:rsidRPr="00707920">
        <w:rPr>
          <w:rFonts w:ascii="David" w:hAnsi="David"/>
          <w:rtl/>
        </w:rPr>
        <w:t xml:space="preserve">במאי 2018, פנתה הגרושה השנייה, לביהמ"ש המחוזי מרכז בה"פ 68985-05-18 וכבר ביום  29.10.18, כלומר, למעלה מ-4 שנים לפני הגשת הבקשה לצו לפתיחת הליכים כדי שהזכויות ירשמו על שמה. ביהמ"ש הורה על מתן צו לרשות מקרקעי ישראל מחוז מרכז לרשום על שם המבקשת </w:t>
      </w:r>
      <w:r w:rsidRPr="00707920">
        <w:rPr>
          <w:rFonts w:ascii="David" w:hAnsi="David"/>
          <w:b/>
          <w:bCs/>
          <w:u w:val="single"/>
          <w:rtl/>
        </w:rPr>
        <w:t>את הזכויות שרשומות על שם המשיב</w:t>
      </w:r>
      <w:r w:rsidRPr="00707920">
        <w:rPr>
          <w:rFonts w:ascii="David" w:hAnsi="David"/>
          <w:rtl/>
        </w:rPr>
        <w:t xml:space="preserve"> וציין שהחליט "</w:t>
      </w:r>
      <w:r w:rsidRPr="00707920">
        <w:rPr>
          <w:rFonts w:ascii="David" w:hAnsi="David"/>
          <w:b/>
          <w:bCs/>
          <w:rtl/>
        </w:rPr>
        <w:t>בהעדר התנגדות מצד מי מהמשיבים"</w:t>
      </w:r>
      <w:r w:rsidRPr="00707920">
        <w:rPr>
          <w:rFonts w:ascii="David" w:hAnsi="David"/>
          <w:rtl/>
        </w:rPr>
        <w:t xml:space="preserve"> והובהר כי "</w:t>
      </w:r>
      <w:r w:rsidRPr="00707920">
        <w:rPr>
          <w:rFonts w:ascii="David" w:hAnsi="David"/>
          <w:b/>
          <w:bCs/>
          <w:rtl/>
        </w:rPr>
        <w:t>הרישום יעשה בהתאם לנוהלי הרשות</w:t>
      </w:r>
      <w:r w:rsidRPr="00707920">
        <w:rPr>
          <w:rFonts w:ascii="David" w:hAnsi="David"/>
          <w:rtl/>
        </w:rPr>
        <w:t>". רישום זה טרם הושלם. (פסק דין זה בה"פ 68985-05-18 יכונה להלן: "</w:t>
      </w:r>
      <w:r w:rsidRPr="00707920">
        <w:rPr>
          <w:rFonts w:ascii="David" w:hAnsi="David"/>
          <w:b/>
          <w:bCs/>
          <w:rtl/>
        </w:rPr>
        <w:t xml:space="preserve">פסק הדין  שהורה על רישום זכויות על שם הגרושה השנייה"). </w:t>
      </w:r>
      <w:r w:rsidRPr="00707920">
        <w:rPr>
          <w:rFonts w:ascii="David" w:hAnsi="David"/>
          <w:b/>
          <w:bCs/>
        </w:rPr>
        <w:t xml:space="preserve"> </w:t>
      </w:r>
      <w:r w:rsidRPr="00707920">
        <w:rPr>
          <w:rFonts w:ascii="David" w:hAnsi="David"/>
          <w:b/>
          <w:bCs/>
          <w:rtl/>
        </w:rPr>
        <w:t xml:space="preserve"> </w:t>
      </w:r>
      <w:r w:rsidRPr="00707920">
        <w:rPr>
          <w:rFonts w:ascii="David" w:hAnsi="David"/>
          <w:b/>
          <w:bCs/>
        </w:rPr>
        <w:t xml:space="preserve"> </w:t>
      </w:r>
    </w:p>
    <w:p w14:paraId="0B74EF7E" w14:textId="77777777" w:rsidR="00707920" w:rsidRPr="00707920" w:rsidRDefault="00707920" w:rsidP="00707920">
      <w:pPr>
        <w:numPr>
          <w:ilvl w:val="0"/>
          <w:numId w:val="2"/>
        </w:numPr>
        <w:suppressLineNumbers/>
        <w:ind w:hanging="531"/>
        <w:contextualSpacing/>
        <w:jc w:val="both"/>
        <w:rPr>
          <w:rFonts w:ascii="David" w:hAnsi="David"/>
        </w:rPr>
      </w:pPr>
      <w:r w:rsidRPr="00707920">
        <w:rPr>
          <w:rFonts w:ascii="David" w:hAnsi="David"/>
          <w:rtl/>
        </w:rPr>
        <w:t>הגרושה הראשונה לא הייתה צד גם לפסק הדין הזה ואין בפסק הדיןדיון ווהכרעה  בתחרות הזכויות בין שתי הגרושות.</w:t>
      </w:r>
      <w:r w:rsidRPr="00707920">
        <w:rPr>
          <w:rFonts w:ascii="David" w:hAnsi="David"/>
        </w:rPr>
        <w:t xml:space="preserve"> </w:t>
      </w:r>
      <w:r w:rsidRPr="00707920">
        <w:rPr>
          <w:rFonts w:ascii="David" w:hAnsi="David"/>
          <w:rtl/>
        </w:rPr>
        <w:t>לאחר שמיעת הגרושה הראשונה, ובנוכחותה.</w:t>
      </w:r>
    </w:p>
    <w:p w14:paraId="20146721" w14:textId="77777777" w:rsidR="00707920" w:rsidRPr="00707920" w:rsidRDefault="00707920" w:rsidP="00707920">
      <w:pPr>
        <w:numPr>
          <w:ilvl w:val="0"/>
          <w:numId w:val="2"/>
        </w:numPr>
        <w:suppressLineNumbers/>
        <w:ind w:hanging="531"/>
        <w:contextualSpacing/>
        <w:jc w:val="both"/>
        <w:rPr>
          <w:rFonts w:ascii="David" w:hAnsi="David"/>
        </w:rPr>
      </w:pPr>
      <w:r w:rsidRPr="00707920">
        <w:rPr>
          <w:rFonts w:ascii="David" w:hAnsi="David"/>
          <w:rtl/>
        </w:rPr>
        <w:t xml:space="preserve"> יוער, שברור </w:t>
      </w:r>
      <w:r w:rsidRPr="00707920">
        <w:rPr>
          <w:rFonts w:ascii="David" w:hAnsi="David"/>
          <w:b/>
          <w:bCs/>
          <w:rtl/>
        </w:rPr>
        <w:t>שהיה מקום לגלות</w:t>
      </w:r>
      <w:r w:rsidRPr="00707920">
        <w:rPr>
          <w:rFonts w:ascii="David" w:hAnsi="David"/>
          <w:rtl/>
        </w:rPr>
        <w:t xml:space="preserve"> לבורר ולבית המשפט המחוזי מרכז, במפורש שעיקול כבר הוטל לפני פסק הבורר. והשוו לדברי כב' השופטת נתניהו ע"א 4360/90 </w:t>
      </w:r>
      <w:r w:rsidRPr="00707920">
        <w:rPr>
          <w:rFonts w:ascii="David" w:hAnsi="David"/>
          <w:b/>
          <w:bCs/>
          <w:rtl/>
        </w:rPr>
        <w:t>משה בר חן נ' יוסף אברהם כוכבי</w:t>
      </w:r>
      <w:r w:rsidRPr="00707920">
        <w:rPr>
          <w:rFonts w:ascii="David" w:hAnsi="David"/>
        </w:rPr>
        <w:t xml:space="preserve">, </w:t>
      </w:r>
      <w:r w:rsidRPr="00707920">
        <w:rPr>
          <w:rFonts w:ascii="David" w:hAnsi="David"/>
          <w:rtl/>
        </w:rPr>
        <w:t xml:space="preserve"> </w:t>
      </w:r>
      <w:r w:rsidRPr="00707920">
        <w:rPr>
          <w:rFonts w:ascii="David" w:hAnsi="David" w:hint="cs"/>
          <w:rtl/>
        </w:rPr>
        <w:t xml:space="preserve">מז(2) 311 (1993) ( פסקה 5) שכתבה: "הצדדים הללו עוד הגדילו לעשות וציינו בהסכם הפשרה, כי אם יוטל עיקול על הכספים שבידי הקונה, מתחייבים המערערים להסירם. כך העלימו מבית המשפט שדן בתביעת הפינוי את דבר העיקול הזמני שהוטל זמן רב קודם לכן. משהוטל עיקול, אין בעל הזכויות המעוקלות ואין המחזיקה חופשיים לעשות בו שינויים שאינם מתיישבים עם מהותו של עיקול, שכן העיקול מהווה מחסום משפטי, שמטרתו למנוע מבעל הזכויות או מהמחזיקה מלסכל את פרעון החוב. הם אינם רשאים לרוקן את הזכויות כולן או מקצתן מתוכן, כשם שאינם רשאים להבריח את הזכויות, כולן או חלקן, לאחרים (ראה: ע"א 743/81 </w:t>
      </w:r>
      <w:r w:rsidRPr="00707920">
        <w:rPr>
          <w:rFonts w:ascii="David" w:hAnsi="David" w:hint="cs"/>
          <w:b/>
          <w:bCs/>
          <w:rtl/>
        </w:rPr>
        <w:t>בנק ברקליס דיסקונט נ' רוזנבוים ואח'</w:t>
      </w:r>
      <w:r w:rsidRPr="00707920">
        <w:rPr>
          <w:rFonts w:ascii="David" w:hAnsi="David" w:hint="cs"/>
          <w:rtl/>
        </w:rPr>
        <w:t xml:space="preserve"> [6], בע"מ וגם  בענין בר חן  צוינה אפשרות עיקול  בלא לציין במפורש שכבר הוטל עיקול  </w:t>
      </w:r>
    </w:p>
    <w:p w14:paraId="49C512DD" w14:textId="77777777" w:rsidR="00707920" w:rsidRPr="00707920" w:rsidRDefault="00707920" w:rsidP="00707920">
      <w:pPr>
        <w:numPr>
          <w:ilvl w:val="0"/>
          <w:numId w:val="2"/>
        </w:numPr>
        <w:suppressLineNumbers/>
        <w:ind w:hanging="531"/>
        <w:contextualSpacing/>
        <w:jc w:val="both"/>
        <w:rPr>
          <w:rFonts w:ascii="David" w:hAnsi="David"/>
        </w:rPr>
      </w:pPr>
      <w:r w:rsidRPr="00707920">
        <w:rPr>
          <w:rFonts w:ascii="David" w:hAnsi="David"/>
          <w:rtl/>
        </w:rPr>
        <w:t>ער אני לכך שלטענת הגרושה השניה, בית המשפט</w:t>
      </w:r>
      <w:r w:rsidRPr="00707920">
        <w:rPr>
          <w:rFonts w:ascii="David" w:hAnsi="David"/>
        </w:rPr>
        <w:t xml:space="preserve"> </w:t>
      </w:r>
      <w:r w:rsidRPr="00707920">
        <w:rPr>
          <w:rFonts w:ascii="David" w:hAnsi="David"/>
          <w:rtl/>
        </w:rPr>
        <w:t>שהורה על רישום הזכויות, היה מודע לעיקול, אך</w:t>
      </w:r>
      <w:r w:rsidRPr="00707920">
        <w:rPr>
          <w:rFonts w:ascii="David" w:hAnsi="David"/>
        </w:rPr>
        <w:t xml:space="preserve"> </w:t>
      </w:r>
      <w:r w:rsidRPr="00707920">
        <w:rPr>
          <w:rFonts w:ascii="David" w:hAnsi="David"/>
          <w:rtl/>
        </w:rPr>
        <w:t xml:space="preserve">לא ראיתי שיש הכרעה בגדר פסק הדין בתחרות הזכויות  שבין הגרושות ולא הוצגו בפני מסמכים המחדדים טענה זאת בפני כב' השופט שפסר(ראו גם בתגובות בעלי התפקיד להלן).  </w:t>
      </w:r>
    </w:p>
    <w:p w14:paraId="287172C4" w14:textId="77777777" w:rsidR="00707920" w:rsidRPr="00707920" w:rsidRDefault="00707920" w:rsidP="00707920">
      <w:pPr>
        <w:suppressLineNumbers/>
        <w:jc w:val="both"/>
        <w:rPr>
          <w:rFonts w:ascii="David" w:hAnsi="David"/>
        </w:rPr>
      </w:pPr>
      <w:r w:rsidRPr="00707920">
        <w:rPr>
          <w:rFonts w:ascii="David" w:hAnsi="David"/>
          <w:rtl/>
        </w:rPr>
        <w:t xml:space="preserve"> </w:t>
      </w:r>
    </w:p>
    <w:p w14:paraId="234C91D0" w14:textId="77777777" w:rsidR="00707920" w:rsidRPr="00707920" w:rsidRDefault="00707920" w:rsidP="00707920">
      <w:pPr>
        <w:pStyle w:val="3"/>
        <w:rPr>
          <w:rFonts w:ascii="David" w:hAnsi="David" w:cs="David"/>
        </w:rPr>
      </w:pPr>
      <w:bookmarkStart w:id="10" w:name="_Toc168898757"/>
      <w:r w:rsidRPr="00707920">
        <w:rPr>
          <w:rFonts w:ascii="David" w:hAnsi="David" w:cs="David"/>
          <w:rtl/>
        </w:rPr>
        <w:t>ב(7) בקשת הנאמן היא לפירוק שיתוף למרות שפסק הדין הורה על רישום הזכות וזאת לנוכח העיקול כי הזכות כשלעצמה טרם רשומה</w:t>
      </w:r>
      <w:bookmarkEnd w:id="10"/>
      <w:r w:rsidRPr="00707920">
        <w:rPr>
          <w:rFonts w:ascii="David" w:hAnsi="David" w:cs="David"/>
          <w:rtl/>
        </w:rPr>
        <w:t xml:space="preserve"> </w:t>
      </w:r>
    </w:p>
    <w:p w14:paraId="4B828C6A" w14:textId="77777777" w:rsidR="00707920" w:rsidRPr="00707920" w:rsidRDefault="00707920" w:rsidP="00707920">
      <w:pPr>
        <w:ind w:left="501"/>
        <w:contextualSpacing/>
        <w:jc w:val="both"/>
        <w:rPr>
          <w:rFonts w:ascii="David" w:hAnsi="David"/>
        </w:rPr>
      </w:pPr>
    </w:p>
    <w:p w14:paraId="6A518CA8" w14:textId="77777777" w:rsidR="00707920" w:rsidRPr="00707920" w:rsidRDefault="00707920" w:rsidP="00707920">
      <w:pPr>
        <w:numPr>
          <w:ilvl w:val="0"/>
          <w:numId w:val="2"/>
        </w:numPr>
        <w:ind w:hanging="531"/>
        <w:contextualSpacing/>
        <w:jc w:val="both"/>
        <w:rPr>
          <w:rFonts w:ascii="David" w:hAnsi="David"/>
        </w:rPr>
      </w:pPr>
      <w:r w:rsidRPr="00707920">
        <w:rPr>
          <w:rFonts w:ascii="David" w:hAnsi="David"/>
          <w:rtl/>
        </w:rPr>
        <w:t>כעולה מהאמור לעיל, גם לאחר "</w:t>
      </w:r>
      <w:r w:rsidRPr="00707920">
        <w:rPr>
          <w:rFonts w:ascii="David" w:hAnsi="David"/>
          <w:b/>
          <w:bCs/>
          <w:rtl/>
        </w:rPr>
        <w:t>פסק הדין  בהמרצה שהורה על רישום זכויות על שם הגרושה השנייה"</w:t>
      </w:r>
      <w:r w:rsidRPr="00707920">
        <w:rPr>
          <w:rFonts w:ascii="David" w:hAnsi="David"/>
        </w:rPr>
        <w:t xml:space="preserve"> </w:t>
      </w:r>
      <w:r w:rsidRPr="00707920">
        <w:rPr>
          <w:rFonts w:ascii="David" w:hAnsi="David"/>
          <w:rtl/>
        </w:rPr>
        <w:t xml:space="preserve">לא בוצעה העברת הזכויות הרשומת על שם היחיד לשם הגרושה השניה. דומה שאין מחלוקת, שרישום לא בוצע מחמת נוהלי </w:t>
      </w:r>
      <w:r w:rsidRPr="00707920">
        <w:rPr>
          <w:rFonts w:ascii="David" w:hAnsi="David"/>
          <w:rtl/>
        </w:rPr>
        <w:lastRenderedPageBreak/>
        <w:t xml:space="preserve">הרשות ( רמ"י) על רקע העיקול (ס'  17 לתצהיר הגרושה השניה ו ס'  19 לבקשת הפירוק  של הנאמן ס'  7 לתגובת הממונה).   </w:t>
      </w:r>
    </w:p>
    <w:p w14:paraId="558DF42D" w14:textId="77777777" w:rsidR="00707920" w:rsidRPr="00707920" w:rsidRDefault="00707920" w:rsidP="00707920">
      <w:pPr>
        <w:ind w:left="501"/>
        <w:contextualSpacing/>
        <w:jc w:val="both"/>
        <w:rPr>
          <w:rFonts w:ascii="David" w:hAnsi="David"/>
        </w:rPr>
      </w:pPr>
      <w:r w:rsidRPr="00707920">
        <w:rPr>
          <w:rFonts w:ascii="David" w:hAnsi="David"/>
          <w:rtl/>
        </w:rPr>
        <w:t xml:space="preserve">וכתולדה מכך היחיד, גר גם כיום, בנכס, שמחציתו רשום על שמו בצוותא עם הגרושה השנייה (סעיף 10 לבקשה לפירוק שיתוף).  </w:t>
      </w:r>
    </w:p>
    <w:p w14:paraId="41DD58CF" w14:textId="77777777" w:rsidR="00707920" w:rsidRPr="00707920" w:rsidRDefault="00707920" w:rsidP="00707920">
      <w:pPr>
        <w:ind w:left="-30"/>
        <w:contextualSpacing/>
        <w:jc w:val="both"/>
        <w:rPr>
          <w:rFonts w:ascii="David" w:hAnsi="David"/>
        </w:rPr>
      </w:pPr>
      <w:r w:rsidRPr="00707920">
        <w:rPr>
          <w:rFonts w:ascii="David" w:hAnsi="David"/>
          <w:rtl/>
        </w:rPr>
        <w:t xml:space="preserve"> </w:t>
      </w:r>
    </w:p>
    <w:p w14:paraId="63A4DDB4" w14:textId="77777777" w:rsidR="00707920" w:rsidRPr="00707920" w:rsidRDefault="00707920" w:rsidP="00707920">
      <w:pPr>
        <w:numPr>
          <w:ilvl w:val="0"/>
          <w:numId w:val="2"/>
        </w:numPr>
        <w:ind w:hanging="531"/>
        <w:contextualSpacing/>
        <w:jc w:val="both"/>
        <w:rPr>
          <w:rFonts w:ascii="David" w:hAnsi="David"/>
        </w:rPr>
      </w:pPr>
      <w:r w:rsidRPr="00707920">
        <w:rPr>
          <w:rFonts w:ascii="David" w:hAnsi="David"/>
          <w:rtl/>
        </w:rPr>
        <w:t xml:space="preserve">בנסיבות אלה הנאמן סבור שבמצב זה הוא "בעל מעמד" הרשאי לבקש פירוק השיתוף בנכס או לפדות את הנכס ובכך לשלם את 100 % מהחובות (פרק ח). </w:t>
      </w:r>
    </w:p>
    <w:p w14:paraId="46DA40CB" w14:textId="77777777" w:rsidR="00707920" w:rsidRPr="00707920" w:rsidRDefault="00707920" w:rsidP="00707920">
      <w:pPr>
        <w:pStyle w:val="2"/>
        <w:rPr>
          <w:rFonts w:ascii="David" w:hAnsi="David" w:cs="David"/>
        </w:rPr>
      </w:pPr>
    </w:p>
    <w:p w14:paraId="3DF495FF" w14:textId="77777777" w:rsidR="00707920" w:rsidRPr="00707920" w:rsidRDefault="00707920" w:rsidP="00707920">
      <w:pPr>
        <w:pStyle w:val="2"/>
        <w:rPr>
          <w:rFonts w:ascii="David" w:hAnsi="David" w:cs="David"/>
          <w:b/>
          <w:bCs/>
          <w:sz w:val="30"/>
          <w:szCs w:val="30"/>
          <w:rtl/>
        </w:rPr>
      </w:pPr>
      <w:bookmarkStart w:id="11" w:name="_Toc168898758"/>
      <w:r w:rsidRPr="00707920">
        <w:rPr>
          <w:rFonts w:ascii="David" w:hAnsi="David" w:cs="David"/>
          <w:b/>
          <w:bCs/>
          <w:sz w:val="30"/>
          <w:szCs w:val="30"/>
          <w:rtl/>
        </w:rPr>
        <w:t>ג. תמצית הטענות העיקריות</w:t>
      </w:r>
      <w:bookmarkEnd w:id="11"/>
      <w:r w:rsidRPr="00707920">
        <w:rPr>
          <w:rFonts w:ascii="David" w:hAnsi="David" w:cs="David"/>
          <w:b/>
          <w:bCs/>
          <w:sz w:val="30"/>
          <w:szCs w:val="30"/>
          <w:rtl/>
        </w:rPr>
        <w:t xml:space="preserve"> </w:t>
      </w:r>
    </w:p>
    <w:p w14:paraId="6B2B20D7" w14:textId="77777777" w:rsidR="00707920" w:rsidRPr="00707920" w:rsidRDefault="00707920" w:rsidP="00707920">
      <w:pPr>
        <w:pStyle w:val="3"/>
        <w:rPr>
          <w:rFonts w:ascii="David" w:hAnsi="David" w:cs="David"/>
          <w:rtl/>
        </w:rPr>
      </w:pPr>
      <w:r w:rsidRPr="00707920">
        <w:rPr>
          <w:rFonts w:ascii="David" w:hAnsi="David" w:cs="David"/>
          <w:rtl/>
        </w:rPr>
        <w:t xml:space="preserve"> </w:t>
      </w:r>
    </w:p>
    <w:p w14:paraId="7097C3B3" w14:textId="77777777" w:rsidR="00707920" w:rsidRPr="00707920" w:rsidRDefault="00707920" w:rsidP="00707920">
      <w:pPr>
        <w:numPr>
          <w:ilvl w:val="0"/>
          <w:numId w:val="2"/>
        </w:numPr>
        <w:ind w:hanging="531"/>
        <w:contextualSpacing/>
        <w:jc w:val="both"/>
        <w:rPr>
          <w:rFonts w:ascii="David" w:hAnsi="David"/>
          <w:rtl/>
        </w:rPr>
      </w:pPr>
      <w:r w:rsidRPr="00707920">
        <w:rPr>
          <w:rFonts w:ascii="David" w:hAnsi="David"/>
          <w:rtl/>
        </w:rPr>
        <w:t xml:space="preserve">הצדדים הגישו כתבי טענות ארוכים ומפורטים מאד. בקשת הנאמן כשלעצמה נפרשת על פני 48 עמודים עם נספחים להלן אתייחס לטענות העיקריות מתוכם ולצורכי נוחיות, מחמת אריכות הדברים,  אפנה לעיתים לסעיפים בתוך כתבי הטענות: </w:t>
      </w:r>
    </w:p>
    <w:p w14:paraId="093BA3F0" w14:textId="77777777" w:rsidR="00707920" w:rsidRPr="00707920" w:rsidRDefault="00707920" w:rsidP="00707920">
      <w:pPr>
        <w:rPr>
          <w:rFonts w:ascii="David" w:hAnsi="David"/>
        </w:rPr>
      </w:pPr>
    </w:p>
    <w:p w14:paraId="500CF60B" w14:textId="77777777" w:rsidR="00707920" w:rsidRPr="00707920" w:rsidRDefault="00707920" w:rsidP="00707920">
      <w:pPr>
        <w:pStyle w:val="3"/>
        <w:rPr>
          <w:rFonts w:ascii="David" w:hAnsi="David" w:cs="David"/>
          <w:rtl/>
        </w:rPr>
      </w:pPr>
      <w:bookmarkStart w:id="12" w:name="_Toc168898759"/>
      <w:r w:rsidRPr="00707920">
        <w:rPr>
          <w:rFonts w:ascii="David" w:hAnsi="David" w:cs="David"/>
          <w:rtl/>
        </w:rPr>
        <w:t>ג(1) תמצית טענות הנאמן המבקש פירוק שיתוף</w:t>
      </w:r>
      <w:r w:rsidRPr="00707920">
        <w:rPr>
          <w:rFonts w:ascii="David" w:hAnsi="David" w:cs="David"/>
        </w:rPr>
        <w:t xml:space="preserve"> </w:t>
      </w:r>
      <w:r w:rsidRPr="00707920">
        <w:rPr>
          <w:rFonts w:ascii="David" w:hAnsi="David" w:cs="David"/>
          <w:rtl/>
        </w:rPr>
        <w:t>אך לא את ביטול פסק הבורר או את ביטול גריעת הנכס מקופת הנשיה</w:t>
      </w:r>
      <w:bookmarkEnd w:id="12"/>
      <w:r w:rsidRPr="00707920">
        <w:rPr>
          <w:rFonts w:ascii="David" w:hAnsi="David" w:cs="David"/>
          <w:rtl/>
        </w:rPr>
        <w:t xml:space="preserve"> </w:t>
      </w:r>
      <w:r w:rsidRPr="00707920">
        <w:rPr>
          <w:rFonts w:ascii="David" w:hAnsi="David" w:cs="David"/>
        </w:rPr>
        <w:t xml:space="preserve"> </w:t>
      </w:r>
    </w:p>
    <w:p w14:paraId="1C47E541" w14:textId="77777777" w:rsidR="00707920" w:rsidRPr="00707920" w:rsidRDefault="00707920" w:rsidP="00707920">
      <w:pPr>
        <w:suppressLineNumbers/>
        <w:rPr>
          <w:rFonts w:ascii="David" w:hAnsi="David"/>
          <w:b/>
          <w:bCs/>
          <w:u w:val="single"/>
          <w:rtl/>
        </w:rPr>
      </w:pPr>
    </w:p>
    <w:p w14:paraId="0D32BF9D" w14:textId="77777777" w:rsidR="00707920" w:rsidRPr="00707920" w:rsidRDefault="00707920" w:rsidP="00707920">
      <w:pPr>
        <w:numPr>
          <w:ilvl w:val="0"/>
          <w:numId w:val="2"/>
        </w:numPr>
        <w:suppressLineNumbers/>
        <w:contextualSpacing/>
        <w:jc w:val="both"/>
        <w:rPr>
          <w:rFonts w:ascii="David" w:hAnsi="David"/>
          <w:rtl/>
        </w:rPr>
      </w:pPr>
      <w:r w:rsidRPr="00707920">
        <w:rPr>
          <w:rFonts w:ascii="David" w:hAnsi="David"/>
          <w:b/>
          <w:bCs/>
          <w:u w:val="single"/>
          <w:rtl/>
        </w:rPr>
        <w:t>ראשית,</w:t>
      </w:r>
      <w:r w:rsidRPr="00707920">
        <w:rPr>
          <w:rFonts w:ascii="David" w:hAnsi="David"/>
          <w:rtl/>
        </w:rPr>
        <w:t xml:space="preserve"> יצויין שבקשת הנאמן</w:t>
      </w:r>
      <w:r w:rsidRPr="00707920">
        <w:rPr>
          <w:rFonts w:ascii="David" w:hAnsi="David"/>
        </w:rPr>
        <w:t xml:space="preserve"> </w:t>
      </w:r>
      <w:r w:rsidRPr="00707920">
        <w:rPr>
          <w:rFonts w:ascii="David" w:hAnsi="David"/>
          <w:rtl/>
        </w:rPr>
        <w:t>היא לפירוק שיתוף ולסעדים נלווים. הנאמן מציין</w:t>
      </w:r>
      <w:r w:rsidRPr="00707920">
        <w:rPr>
          <w:rFonts w:ascii="David" w:hAnsi="David"/>
        </w:rPr>
        <w:t xml:space="preserve"> </w:t>
      </w:r>
      <w:r w:rsidRPr="00707920">
        <w:rPr>
          <w:rFonts w:ascii="David" w:hAnsi="David"/>
          <w:rtl/>
        </w:rPr>
        <w:t>כי"אינו עותר לביטול פסק הבוררות"</w:t>
      </w:r>
      <w:r w:rsidRPr="00707920">
        <w:rPr>
          <w:rFonts w:ascii="David" w:hAnsi="David"/>
          <w:sz w:val="10"/>
          <w:szCs w:val="10"/>
        </w:rPr>
        <w:t xml:space="preserve"> </w:t>
      </w:r>
      <w:r w:rsidRPr="00707920">
        <w:rPr>
          <w:rFonts w:ascii="David" w:hAnsi="David"/>
          <w:sz w:val="14"/>
          <w:szCs w:val="14"/>
          <w:rtl/>
        </w:rPr>
        <w:t xml:space="preserve">. </w:t>
      </w:r>
      <w:r w:rsidRPr="00707920">
        <w:rPr>
          <w:rFonts w:ascii="David" w:hAnsi="David"/>
          <w:rtl/>
        </w:rPr>
        <w:t>( סעיף 25). הנאמן מציין ומדגיש כי"אין מדובר בקשה לביטול גריעת נכס מקופת הנשיה לפי סעיף 220 לחוק" ואגב זאת, כי לטענתו מחצית הזכויות בנכס עודן רשומות ברמ"י על שם היחיד. (ס' 20).</w:t>
      </w:r>
    </w:p>
    <w:p w14:paraId="6EEDAB12" w14:textId="77777777" w:rsidR="00707920" w:rsidRPr="00707920" w:rsidRDefault="00707920" w:rsidP="00707920">
      <w:pPr>
        <w:numPr>
          <w:ilvl w:val="0"/>
          <w:numId w:val="2"/>
        </w:numPr>
        <w:suppressLineNumbers/>
        <w:ind w:hanging="531"/>
        <w:contextualSpacing/>
        <w:jc w:val="both"/>
        <w:rPr>
          <w:rFonts w:ascii="David" w:hAnsi="David"/>
          <w:rtl/>
        </w:rPr>
      </w:pPr>
      <w:r w:rsidRPr="00707920">
        <w:rPr>
          <w:rFonts w:ascii="David" w:hAnsi="David"/>
          <w:b/>
          <w:bCs/>
          <w:u w:val="single"/>
          <w:rtl/>
        </w:rPr>
        <w:t xml:space="preserve">שנית, </w:t>
      </w:r>
      <w:r w:rsidRPr="00707920">
        <w:rPr>
          <w:rFonts w:ascii="David" w:hAnsi="David"/>
          <w:rtl/>
        </w:rPr>
        <w:t>לפיכך בהחלטה הזאת ,יוכרע אם להיעתר לבקשה לפירוק השיתוף ולמתן ההוראות הבאות:</w:t>
      </w:r>
      <w:r w:rsidRPr="00707920">
        <w:rPr>
          <w:rFonts w:ascii="David" w:hAnsi="David"/>
        </w:rPr>
        <w:t xml:space="preserve"> </w:t>
      </w:r>
      <w:r w:rsidRPr="00707920">
        <w:rPr>
          <w:rFonts w:ascii="David" w:hAnsi="David"/>
          <w:rtl/>
        </w:rPr>
        <w:t xml:space="preserve"> א. ליתן צו המורה על פירוק השיתוף בנכס ב. </w:t>
      </w:r>
      <w:r w:rsidRPr="00707920">
        <w:rPr>
          <w:rFonts w:ascii="David" w:hAnsi="David"/>
          <w:b/>
          <w:bCs/>
          <w:rtl/>
        </w:rPr>
        <w:t>למנותו ככונס</w:t>
      </w:r>
      <w:r w:rsidRPr="00707920">
        <w:rPr>
          <w:rFonts w:ascii="David" w:hAnsi="David"/>
          <w:rtl/>
        </w:rPr>
        <w:t xml:space="preserve"> נכסים ג. לאשר לו לפרסם הצעות לרכישת זכויות בנכס במצב נוכחי  ולהאריך מועד לרכישה ד. לאשר שהמכירה תהיה לפי סעיף 34 א לחוק המכר כשהוא נקי מכל זכות צד ג' ובין היתר מעיקול או שיעבוד (כעולה מהפתיח לבקשתו). </w:t>
      </w:r>
    </w:p>
    <w:p w14:paraId="2EC8C4DB" w14:textId="77777777" w:rsidR="00707920" w:rsidRPr="00707920" w:rsidRDefault="00707920" w:rsidP="00707920">
      <w:pPr>
        <w:numPr>
          <w:ilvl w:val="0"/>
          <w:numId w:val="2"/>
        </w:numPr>
        <w:suppressLineNumbers/>
        <w:ind w:hanging="531"/>
        <w:contextualSpacing/>
        <w:jc w:val="both"/>
        <w:rPr>
          <w:rFonts w:ascii="David" w:hAnsi="David"/>
        </w:rPr>
      </w:pPr>
      <w:r w:rsidRPr="00707920">
        <w:rPr>
          <w:rFonts w:ascii="David" w:hAnsi="David"/>
          <w:rtl/>
        </w:rPr>
        <w:t>עמדת הנאמן, מפורטת בשני מסמכים מרכזיים: א. המסמך האחד בבקשה המקורית שהגיש ערב מצב החירום ב21.9.23  אשר משתרעת עם נספחיה על 48 עמודים ב. המסמך השני בתשובה מטעם הנאמן מיום 18.1.24 (שמשתרעת על 5 העמודים ומצויה משום מה בבקשה 17 בנט המשפט חלף 14 המרכזת את הנושא. להלן כדי להקל אתייחס בתחילה לעמדת הנאמן במרוכז ואפנה לסעיפים בבקשה ואם נאמר אחרת אז לסעיפים בתשובה לאחמ"כ כדי לחדד אתייחס שוב לתשובה).</w:t>
      </w:r>
      <w:r w:rsidRPr="00707920">
        <w:rPr>
          <w:rFonts w:ascii="David" w:hAnsi="David"/>
        </w:rPr>
        <w:t xml:space="preserve"> </w:t>
      </w:r>
      <w:r w:rsidRPr="00707920">
        <w:rPr>
          <w:rFonts w:ascii="David" w:hAnsi="David"/>
          <w:rtl/>
        </w:rPr>
        <w:t xml:space="preserve"> </w:t>
      </w:r>
    </w:p>
    <w:p w14:paraId="6734CE03" w14:textId="77777777" w:rsidR="00707920" w:rsidRPr="00707920" w:rsidRDefault="00707920" w:rsidP="00707920">
      <w:pPr>
        <w:numPr>
          <w:ilvl w:val="0"/>
          <w:numId w:val="2"/>
        </w:numPr>
        <w:ind w:hanging="531"/>
        <w:contextualSpacing/>
        <w:jc w:val="both"/>
        <w:rPr>
          <w:rFonts w:ascii="David" w:hAnsi="David"/>
        </w:rPr>
      </w:pPr>
      <w:r w:rsidRPr="00707920">
        <w:rPr>
          <w:rFonts w:ascii="David" w:hAnsi="David"/>
          <w:b/>
          <w:bCs/>
          <w:u w:val="single"/>
          <w:rtl/>
        </w:rPr>
        <w:t xml:space="preserve">שלישית </w:t>
      </w:r>
      <w:r w:rsidRPr="00707920">
        <w:rPr>
          <w:rFonts w:ascii="David" w:hAnsi="David"/>
          <w:rtl/>
        </w:rPr>
        <w:t xml:space="preserve"> ובפתח הדברים אציין כי הנימוק המרכזי שביסוד טענת הנאמן לזכות לפירוק השיתוף הוא כי העיקול שהטילה הגרושה הראשונה גובר על זכויות הגרושה השניה הואיל ואינן רשומות, והואיל ופסק הבוררות שניתן לאחר העיקול  ואינו יכול לגבור עליו.(ס' 31 +18 )</w:t>
      </w:r>
      <w:r w:rsidRPr="00707920">
        <w:rPr>
          <w:rFonts w:ascii="David" w:hAnsi="David"/>
        </w:rPr>
        <w:t xml:space="preserve"> </w:t>
      </w:r>
      <w:r w:rsidRPr="00707920">
        <w:rPr>
          <w:rFonts w:ascii="David" w:hAnsi="David"/>
          <w:rtl/>
        </w:rPr>
        <w:t>ולגביו הנאמן</w:t>
      </w:r>
      <w:r w:rsidRPr="00707920">
        <w:rPr>
          <w:rFonts w:ascii="David" w:hAnsi="David"/>
        </w:rPr>
        <w:t xml:space="preserve"> </w:t>
      </w:r>
      <w:r w:rsidRPr="00707920">
        <w:rPr>
          <w:rFonts w:ascii="David" w:hAnsi="David"/>
          <w:rtl/>
        </w:rPr>
        <w:t xml:space="preserve">מתייחס לטעמים המרכזיים הבאים:  </w:t>
      </w:r>
      <w:r w:rsidRPr="00707920">
        <w:rPr>
          <w:rFonts w:ascii="David" w:hAnsi="David"/>
          <w:sz w:val="10"/>
          <w:szCs w:val="10"/>
          <w:rtl/>
        </w:rPr>
        <w:t xml:space="preserve"> </w:t>
      </w:r>
      <w:r w:rsidRPr="00707920">
        <w:rPr>
          <w:rFonts w:ascii="David" w:hAnsi="David"/>
          <w:rtl/>
        </w:rPr>
        <w:t>א. לגרושה הראשונה עיקול על זכות היחיד, בנכס שהוטל בגין חוב המזונות, כבר ב1998,  (ס' 2)</w:t>
      </w:r>
      <w:r w:rsidRPr="00707920">
        <w:rPr>
          <w:rFonts w:ascii="David" w:hAnsi="David"/>
          <w:sz w:val="16"/>
          <w:szCs w:val="16"/>
          <w:rtl/>
        </w:rPr>
        <w:t xml:space="preserve"> </w:t>
      </w:r>
      <w:r w:rsidRPr="00707920">
        <w:rPr>
          <w:rFonts w:ascii="David" w:hAnsi="David"/>
          <w:rtl/>
        </w:rPr>
        <w:t xml:space="preserve">כלומר, </w:t>
      </w:r>
      <w:r w:rsidRPr="00707920">
        <w:rPr>
          <w:rFonts w:ascii="David" w:hAnsi="David"/>
          <w:b/>
          <w:bCs/>
          <w:rtl/>
        </w:rPr>
        <w:t xml:space="preserve">כשנתיים, לפני </w:t>
      </w:r>
      <w:r w:rsidRPr="00707920">
        <w:rPr>
          <w:rFonts w:ascii="David" w:hAnsi="David"/>
          <w:rtl/>
        </w:rPr>
        <w:t xml:space="preserve">פסק הבוררות שניתן רק בשנת 2000 </w:t>
      </w:r>
      <w:r w:rsidRPr="00707920">
        <w:rPr>
          <w:rFonts w:ascii="David" w:hAnsi="David"/>
          <w:sz w:val="18"/>
          <w:szCs w:val="18"/>
          <w:rtl/>
        </w:rPr>
        <w:t xml:space="preserve"> </w:t>
      </w:r>
      <w:r w:rsidRPr="00707920">
        <w:rPr>
          <w:rFonts w:ascii="David" w:hAnsi="David"/>
          <w:rtl/>
        </w:rPr>
        <w:t xml:space="preserve">ב. פסק בוררות אמנם אושר, אך מדובר בהליך בוררות שהגרושה הראשונה </w:t>
      </w:r>
      <w:r w:rsidRPr="00707920">
        <w:rPr>
          <w:rFonts w:ascii="David" w:hAnsi="David"/>
          <w:b/>
          <w:bCs/>
          <w:rtl/>
        </w:rPr>
        <w:t>לא הייתה צד לו</w:t>
      </w:r>
      <w:r w:rsidRPr="00707920">
        <w:rPr>
          <w:rFonts w:ascii="David" w:hAnsi="David"/>
          <w:rtl/>
        </w:rPr>
        <w:t xml:space="preserve">  שאינו מחייב את הגרושה הראשונה. בפסק הבורר לא ניתן כל משקל לעובדה שהנכס נרשם על שם היחיד כבר ב1978 (ס'8). כלומר, שנים רבות לפני שהכיר את הגרושה השניה (ס' 13)  ג. לצורך הפירוק הנאמן מתייחס לתחרות הזכויות</w:t>
      </w:r>
      <w:r w:rsidRPr="00707920">
        <w:rPr>
          <w:rFonts w:ascii="David" w:hAnsi="David"/>
        </w:rPr>
        <w:t xml:space="preserve"> </w:t>
      </w:r>
      <w:r w:rsidRPr="00707920">
        <w:rPr>
          <w:rFonts w:ascii="David" w:hAnsi="David"/>
          <w:rtl/>
        </w:rPr>
        <w:t xml:space="preserve">שבין הגרושות ומציין שהואיל והעיקול מוקדם פסק הבוררות אינו גובר ואינו יכול להשפיע על זכויות הגרושה הראשונה מכוח העיקול שהוטל( ס' 21) ד.זכויות הגרושה השניה טרם נרשמו על מלוא הנכס ברמ"י כי מחצית הזכויות עודן רשומות על שם היחיד ולפיכך יש לה זכות שהיא לכל היותר אוליגטורית, והיא מקנה כאות לתביעת חוב (ס' 26-28). אגב, הנאמן מפקפק גם ברישום הנוכחי על שם הגרושה שהוא במחצית מהנכס אך מציין שדי בחצי  שרשום (ס' 26). ה. הנאמן, סבור שיש ספק לגבי </w:t>
      </w:r>
      <w:r w:rsidRPr="00707920">
        <w:rPr>
          <w:rFonts w:ascii="David" w:hAnsi="David"/>
          <w:b/>
          <w:bCs/>
          <w:rtl/>
        </w:rPr>
        <w:t xml:space="preserve">תום הלב </w:t>
      </w:r>
      <w:r w:rsidRPr="00707920">
        <w:rPr>
          <w:rFonts w:ascii="David" w:hAnsi="David"/>
          <w:rtl/>
        </w:rPr>
        <w:t xml:space="preserve">של היחיד והגרושה השניה אך מציין גם אם היו תמי לב זכויות הגרושה השניה אובליגטוריות כי טרם נגמרה העברה ברישום (ס' 4). אקדים ואציין שבתשובת הנאמן לטענות היחיד והגרושה השניה הנאמן אף כתב כי עצם העובדה שהגרושה השניה ידעה אודות העיקול, אולם לא טרחה לפנות לגרושה הראשונה או להסדיר את העיקול ו/או לצרפה להליך הבוררות, שוללת מניה וביה את טענתה של הגרושה השניה כי נהגה בתום לב (ס' 10 לתגובה). </w:t>
      </w:r>
    </w:p>
    <w:p w14:paraId="6FD03BBA" w14:textId="77777777" w:rsidR="00707920" w:rsidRPr="00707920" w:rsidRDefault="00707920" w:rsidP="00707920">
      <w:pPr>
        <w:ind w:left="501"/>
        <w:contextualSpacing/>
        <w:jc w:val="both"/>
        <w:rPr>
          <w:rFonts w:ascii="David" w:hAnsi="David"/>
        </w:rPr>
      </w:pPr>
      <w:r w:rsidRPr="00707920">
        <w:rPr>
          <w:rFonts w:ascii="David" w:hAnsi="David"/>
          <w:rtl/>
        </w:rPr>
        <w:t xml:space="preserve">בבקשתו המקורית הנאמן סבור שישנן 6 אינדיקציות המלמדות שהליך הבוררות לא היה אותנטי (אלא למראית עין) והן כדלהלן: א.הגרושה הראשונה לא הייתה צד ב. היחיד לא התגונן ולא העלה טענות נגד הגרושה השניה ג.לא ניתן משקל לעובדה שהמגרש שעליו הנכס היה בבעלות היחיד מ1978 ד.לסברתו של הנאמן, שני הצדדים יוצגו על ידי עורך דין אחד. ה. לגרושה לא ניתנה הזדמנות להיות צד לבוררות </w:t>
      </w:r>
      <w:r w:rsidRPr="00707920">
        <w:rPr>
          <w:rFonts w:ascii="David" w:hAnsi="David"/>
          <w:b/>
          <w:bCs/>
          <w:rtl/>
        </w:rPr>
        <w:t xml:space="preserve">למרות </w:t>
      </w:r>
      <w:r w:rsidRPr="00707920">
        <w:rPr>
          <w:rFonts w:ascii="David" w:hAnsi="David"/>
          <w:rtl/>
        </w:rPr>
        <w:t>התייחסות לעיקול ולחוב המזונות כלפיה. היחיד והגרושה השניה גרים בנכס למרות שלכאורה מתגרשים. אגב, הנאמן ציין בתגובתו כי אין מענה מספק לאינדיקציות הללו ( ס' 8 לתגובה).</w:t>
      </w:r>
      <w:r w:rsidRPr="00707920">
        <w:rPr>
          <w:rFonts w:ascii="David" w:hAnsi="David"/>
        </w:rPr>
        <w:t xml:space="preserve"> </w:t>
      </w:r>
    </w:p>
    <w:p w14:paraId="22904B54" w14:textId="77777777" w:rsidR="00707920" w:rsidRPr="00707920" w:rsidRDefault="00707920" w:rsidP="00707920">
      <w:pPr>
        <w:numPr>
          <w:ilvl w:val="0"/>
          <w:numId w:val="2"/>
        </w:numPr>
        <w:ind w:hanging="531"/>
        <w:contextualSpacing/>
        <w:jc w:val="both"/>
        <w:rPr>
          <w:rFonts w:ascii="David" w:hAnsi="David"/>
        </w:rPr>
      </w:pPr>
      <w:r w:rsidRPr="00707920">
        <w:rPr>
          <w:rFonts w:ascii="David" w:hAnsi="David"/>
          <w:rtl/>
        </w:rPr>
        <w:lastRenderedPageBreak/>
        <w:t xml:space="preserve">הנאמן כפר -בטענה שהגרושה השניה רכשה את הנכס </w:t>
      </w:r>
      <w:r w:rsidRPr="00707920">
        <w:rPr>
          <w:rFonts w:ascii="David" w:hAnsi="David"/>
          <w:b/>
          <w:bCs/>
          <w:rtl/>
        </w:rPr>
        <w:t>בתמורה</w:t>
      </w:r>
      <w:r w:rsidRPr="00707920">
        <w:rPr>
          <w:rFonts w:ascii="David" w:hAnsi="David"/>
        </w:rPr>
        <w:t xml:space="preserve">/ </w:t>
      </w:r>
      <w:r w:rsidRPr="00707920">
        <w:rPr>
          <w:rFonts w:ascii="David" w:hAnsi="David"/>
          <w:rtl/>
        </w:rPr>
        <w:t xml:space="preserve"> </w:t>
      </w:r>
      <w:r w:rsidRPr="00707920">
        <w:rPr>
          <w:rFonts w:ascii="David" w:hAnsi="David" w:hint="cs"/>
          <w:rtl/>
        </w:rPr>
        <w:t>כמפורט להלן</w:t>
      </w:r>
      <w:r w:rsidRPr="00707920">
        <w:rPr>
          <w:rFonts w:ascii="David" w:hAnsi="David"/>
        </w:rPr>
        <w:t xml:space="preserve"> </w:t>
      </w:r>
      <w:r w:rsidRPr="00707920">
        <w:rPr>
          <w:rFonts w:ascii="David" w:hAnsi="David"/>
          <w:rtl/>
        </w:rPr>
        <w:t xml:space="preserve">בתשובת הנאמן לעמדות היחיד והגרושה השניה הוא ציין בין היתר כי אין כל פירוט לסכומים ואין כל הסבר לתמורה וכיצד ניתן לטעון ששויה עולה על שווי הנכס שקיבלה.  </w:t>
      </w:r>
    </w:p>
    <w:p w14:paraId="14A699A1" w14:textId="77777777" w:rsidR="00707920" w:rsidRPr="00707920" w:rsidRDefault="00707920" w:rsidP="00707920">
      <w:pPr>
        <w:numPr>
          <w:ilvl w:val="0"/>
          <w:numId w:val="2"/>
        </w:numPr>
        <w:ind w:hanging="531"/>
        <w:contextualSpacing/>
        <w:jc w:val="both"/>
        <w:rPr>
          <w:rFonts w:ascii="David" w:hAnsi="David"/>
        </w:rPr>
      </w:pPr>
      <w:r w:rsidRPr="00707920">
        <w:rPr>
          <w:rFonts w:ascii="David" w:hAnsi="David"/>
          <w:b/>
          <w:bCs/>
          <w:u w:val="single"/>
          <w:rtl/>
        </w:rPr>
        <w:t xml:space="preserve">מהבקשה ומהתשובה שהגיש הנאמן עולה שהוא סבור שאין בהליכים שלאחר העיקול ואפילו </w:t>
      </w:r>
      <w:r w:rsidRPr="00707920">
        <w:rPr>
          <w:rFonts w:ascii="David" w:hAnsi="David"/>
          <w:b/>
          <w:bCs/>
          <w:rtl/>
        </w:rPr>
        <w:t xml:space="preserve">בפסק הדין בהמרצה שהורה על רישום זכויות על שם הגרושה השנייה </w:t>
      </w:r>
      <w:r w:rsidRPr="00707920">
        <w:rPr>
          <w:rFonts w:ascii="David" w:hAnsi="David"/>
          <w:rtl/>
        </w:rPr>
        <w:t xml:space="preserve"> כדי למנוע את הרשאתו לבקש פירוק שיתוף. להלן אתייחס לתמצית טענותיו לגבי כל הליך שפורטו תחת הכותרת "הטוענה לגבי ההליך המשפטי שננקט בין הצדדים". </w:t>
      </w:r>
    </w:p>
    <w:p w14:paraId="56606D3C" w14:textId="77777777" w:rsidR="00707920" w:rsidRPr="00707920" w:rsidRDefault="00707920" w:rsidP="00707920">
      <w:pPr>
        <w:ind w:left="501"/>
        <w:contextualSpacing/>
        <w:jc w:val="both"/>
        <w:rPr>
          <w:rFonts w:ascii="David" w:hAnsi="David"/>
        </w:rPr>
      </w:pPr>
    </w:p>
    <w:p w14:paraId="4C4B7608" w14:textId="77777777" w:rsidR="00707920" w:rsidRPr="00707920" w:rsidRDefault="00707920" w:rsidP="00707920">
      <w:pPr>
        <w:numPr>
          <w:ilvl w:val="0"/>
          <w:numId w:val="2"/>
        </w:numPr>
        <w:ind w:hanging="531"/>
        <w:contextualSpacing/>
        <w:jc w:val="both"/>
        <w:rPr>
          <w:rFonts w:ascii="David" w:hAnsi="David"/>
        </w:rPr>
      </w:pPr>
      <w:r w:rsidRPr="00707920">
        <w:rPr>
          <w:rFonts w:ascii="David" w:hAnsi="David"/>
          <w:u w:val="single"/>
          <w:rtl/>
        </w:rPr>
        <w:t>לגבי פסק הבורר</w:t>
      </w:r>
      <w:r w:rsidRPr="00707920">
        <w:rPr>
          <w:rFonts w:ascii="David" w:hAnsi="David"/>
          <w:rtl/>
        </w:rPr>
        <w:t xml:space="preserve"> - הנאמן</w:t>
      </w:r>
      <w:r w:rsidRPr="00707920">
        <w:rPr>
          <w:rFonts w:ascii="David" w:hAnsi="David"/>
        </w:rPr>
        <w:t xml:space="preserve"> </w:t>
      </w:r>
      <w:r w:rsidRPr="00707920">
        <w:rPr>
          <w:rFonts w:ascii="David" w:hAnsi="David"/>
          <w:rtl/>
        </w:rPr>
        <w:t xml:space="preserve">סבור שאינו חוסם טענתו לזכות לפירוק. הנאמן מציין שפסק הבוררות יתכן שאכן חל  ומחייב ביחסים שבין הגרושה השניה ליחיד אך אינו  חוסם טענתו כי אינו מחייב ביחסים מול הגרושה הראשונה </w:t>
      </w:r>
      <w:r w:rsidRPr="00707920">
        <w:rPr>
          <w:rFonts w:ascii="David" w:hAnsi="David"/>
        </w:rPr>
        <w:t xml:space="preserve"> </w:t>
      </w:r>
      <w:r w:rsidRPr="00707920">
        <w:rPr>
          <w:rFonts w:ascii="David" w:hAnsi="David"/>
          <w:rtl/>
        </w:rPr>
        <w:t xml:space="preserve">ואינו יכול לגבור על העיקול שהוטל על הנכס לפניו (ס' 25).  </w:t>
      </w:r>
    </w:p>
    <w:p w14:paraId="05FBE594" w14:textId="77777777" w:rsidR="00707920" w:rsidRPr="00707920" w:rsidRDefault="00707920" w:rsidP="00707920">
      <w:pPr>
        <w:numPr>
          <w:ilvl w:val="0"/>
          <w:numId w:val="2"/>
        </w:numPr>
        <w:ind w:hanging="531"/>
        <w:contextualSpacing/>
        <w:jc w:val="both"/>
        <w:rPr>
          <w:rFonts w:ascii="David" w:hAnsi="David"/>
        </w:rPr>
      </w:pPr>
      <w:r w:rsidRPr="00707920">
        <w:rPr>
          <w:rFonts w:ascii="David" w:hAnsi="David"/>
          <w:u w:val="single"/>
          <w:rtl/>
        </w:rPr>
        <w:t>לגבי</w:t>
      </w:r>
      <w:r w:rsidRPr="00707920">
        <w:rPr>
          <w:rFonts w:ascii="David" w:hAnsi="David"/>
          <w:u w:val="single"/>
        </w:rPr>
        <w:t xml:space="preserve"> </w:t>
      </w:r>
      <w:r w:rsidRPr="00707920">
        <w:rPr>
          <w:rFonts w:ascii="David" w:hAnsi="David"/>
          <w:u w:val="single"/>
          <w:rtl/>
        </w:rPr>
        <w:t>המרצת הפתיחה שהגישה - הגרושה הראשונה</w:t>
      </w:r>
      <w:r w:rsidRPr="00707920">
        <w:rPr>
          <w:rFonts w:ascii="David" w:hAnsi="David"/>
          <w:rtl/>
        </w:rPr>
        <w:t xml:space="preserve"> - הנאמן סבור שהיא אינה חוסמת מפתיחה של הסוגיה בהליך החדל"פ, כי המרצת הפתיחה הוגשה בטענה שפסק בוררות ניתן במרמה והוא אינו עותר לביטול הפסק (ס'24-לתגובה הראשונה). הנאמן ציין שהגרושה הראשונה אומנם הייתה צד להמרצה זאת</w:t>
      </w:r>
      <w:r w:rsidRPr="00707920">
        <w:rPr>
          <w:rFonts w:ascii="David" w:hAnsi="David"/>
        </w:rPr>
        <w:t xml:space="preserve"> </w:t>
      </w:r>
      <w:r w:rsidRPr="00707920">
        <w:rPr>
          <w:rFonts w:ascii="David" w:hAnsi="David"/>
          <w:rtl/>
        </w:rPr>
        <w:t>אך נמחקה ללא כל קביעה שיש בה להוות השתק עילה או פלוגתא. מעבר לכך ציין כי המרצה הוגשה בבקשה לסעד של ביטול פסק בוררות שאינו מבוקש במסגרת ההליך דנן</w:t>
      </w:r>
      <w:r w:rsidRPr="00707920">
        <w:rPr>
          <w:rFonts w:ascii="David" w:hAnsi="David"/>
        </w:rPr>
        <w:t xml:space="preserve"> </w:t>
      </w:r>
      <w:r w:rsidRPr="00707920">
        <w:rPr>
          <w:rFonts w:ascii="David" w:hAnsi="David"/>
          <w:rtl/>
        </w:rPr>
        <w:t xml:space="preserve">(ס' 22(ג) לתשובה).   </w:t>
      </w:r>
    </w:p>
    <w:p w14:paraId="2BA31BFC" w14:textId="77777777" w:rsidR="00707920" w:rsidRPr="00707920" w:rsidRDefault="00707920" w:rsidP="00707920">
      <w:pPr>
        <w:numPr>
          <w:ilvl w:val="0"/>
          <w:numId w:val="2"/>
        </w:numPr>
        <w:ind w:hanging="531"/>
        <w:contextualSpacing/>
        <w:jc w:val="both"/>
        <w:rPr>
          <w:rFonts w:ascii="David" w:hAnsi="David"/>
        </w:rPr>
      </w:pPr>
      <w:r w:rsidRPr="00707920">
        <w:rPr>
          <w:rFonts w:ascii="David" w:hAnsi="David"/>
          <w:u w:val="single"/>
          <w:rtl/>
        </w:rPr>
        <w:t>לגבי</w:t>
      </w:r>
      <w:r w:rsidRPr="00707920">
        <w:rPr>
          <w:rFonts w:ascii="David" w:hAnsi="David"/>
          <w:u w:val="single"/>
        </w:rPr>
        <w:t xml:space="preserve"> </w:t>
      </w:r>
      <w:r w:rsidRPr="00707920">
        <w:rPr>
          <w:rFonts w:ascii="David" w:hAnsi="David"/>
          <w:u w:val="single"/>
          <w:rtl/>
        </w:rPr>
        <w:t>פסק הדין שהורה על רישום זכויות על שם הגרושה השנייה</w:t>
      </w:r>
      <w:r w:rsidRPr="00707920">
        <w:rPr>
          <w:rFonts w:ascii="David" w:hAnsi="David"/>
          <w:b/>
          <w:bCs/>
        </w:rPr>
        <w:t xml:space="preserve"> </w:t>
      </w:r>
      <w:r w:rsidRPr="00707920">
        <w:rPr>
          <w:rFonts w:ascii="David" w:hAnsi="David"/>
          <w:rtl/>
        </w:rPr>
        <w:t>- הנאמן הסתפק בטענה שהנושה(דהיינו הגרושה הראשונה) לא היתה צד להליך הזה ולא בחן את משמעות היות היחיד צד לו כלפיו בתור מי שמבוצעת</w:t>
      </w:r>
      <w:r w:rsidRPr="00707920">
        <w:rPr>
          <w:rFonts w:ascii="David" w:hAnsi="David"/>
        </w:rPr>
        <w:t xml:space="preserve"> </w:t>
      </w:r>
      <w:r w:rsidRPr="00707920">
        <w:rPr>
          <w:rFonts w:ascii="David" w:hAnsi="David"/>
          <w:rtl/>
        </w:rPr>
        <w:t>כלפיו הקניית סמכויות היחיד בנכסי קופת הנשייה לנאמן</w:t>
      </w:r>
      <w:r w:rsidRPr="00707920">
        <w:rPr>
          <w:rFonts w:ascii="David" w:hAnsi="David"/>
          <w:b/>
          <w:bCs/>
          <w:rtl/>
        </w:rPr>
        <w:t xml:space="preserve"> </w:t>
      </w:r>
      <w:r w:rsidRPr="00707920">
        <w:rPr>
          <w:rFonts w:ascii="David" w:hAnsi="David"/>
          <w:rtl/>
        </w:rPr>
        <w:t xml:space="preserve">כאמור בכותרת ס'131 לחוק. </w:t>
      </w:r>
    </w:p>
    <w:p w14:paraId="2B755562" w14:textId="77777777" w:rsidR="00707920" w:rsidRPr="00707920" w:rsidRDefault="00707920" w:rsidP="00707920">
      <w:pPr>
        <w:numPr>
          <w:ilvl w:val="0"/>
          <w:numId w:val="2"/>
        </w:numPr>
        <w:ind w:hanging="531"/>
        <w:contextualSpacing/>
        <w:jc w:val="both"/>
        <w:rPr>
          <w:rFonts w:ascii="David" w:hAnsi="David"/>
        </w:rPr>
      </w:pPr>
      <w:r w:rsidRPr="00707920">
        <w:rPr>
          <w:rFonts w:ascii="David" w:hAnsi="David"/>
          <w:rtl/>
        </w:rPr>
        <w:t xml:space="preserve">אציין מעתה ששתשובת הנאמן לתגובות היחיד והגרושה הראשונה/השניה הוא מציין שדומה שהטענה העיקרית היא שהענין כבר נדון והוכרע ושטענה זאת פשוט שגויה (ס' 2+18+19 לתשובה) זאת כי כלל בנוי על רעיון שאין משתיקים אדם אם לא הייתה לו שעת כושר בעבר להציג טענותיו ולא די בכך שבורר ידע על טענותיה(ס' 20 לתשובה). הנאמן מציין שפסק הבוררות ופסק הדין שאישר אותו היו שלא בנוכחותה. </w:t>
      </w:r>
    </w:p>
    <w:p w14:paraId="4F596B57" w14:textId="77777777" w:rsidR="00707920" w:rsidRPr="00707920" w:rsidRDefault="00707920" w:rsidP="00707920">
      <w:pPr>
        <w:numPr>
          <w:ilvl w:val="0"/>
          <w:numId w:val="2"/>
        </w:numPr>
        <w:ind w:hanging="531"/>
        <w:contextualSpacing/>
        <w:jc w:val="both"/>
        <w:rPr>
          <w:rFonts w:ascii="David" w:hAnsi="David"/>
        </w:rPr>
      </w:pPr>
      <w:r w:rsidRPr="00707920">
        <w:rPr>
          <w:rFonts w:ascii="David" w:hAnsi="David"/>
          <w:rtl/>
        </w:rPr>
        <w:t>כאמור הנאמן הדגיש מציין שאין מדובר בבקשה לביטול גריעה מקופת הנשיה לפי ס' 220 לחוק כי מחצית מהכנס רשום על שם היחיד ולא עם היחידה. עם זאת, לטענתו</w:t>
      </w:r>
      <w:r w:rsidRPr="00707920">
        <w:rPr>
          <w:rFonts w:ascii="David" w:hAnsi="David"/>
        </w:rPr>
        <w:t xml:space="preserve"> </w:t>
      </w:r>
      <w:r w:rsidRPr="00707920">
        <w:rPr>
          <w:rFonts w:ascii="David" w:hAnsi="David"/>
          <w:rtl/>
        </w:rPr>
        <w:t>לצורך ס' 220, המועד הקובע הוא מועד רישום כי רק אז משתכללת הזכות ולא מועד פסק הדין המאשר את העברת הזכויות(</w:t>
      </w:r>
      <w:r w:rsidRPr="00707920">
        <w:rPr>
          <w:rFonts w:ascii="David" w:hAnsi="David"/>
        </w:rPr>
        <w:t xml:space="preserve"> </w:t>
      </w:r>
      <w:r w:rsidRPr="00707920">
        <w:rPr>
          <w:rFonts w:ascii="David" w:hAnsi="David"/>
          <w:rtl/>
        </w:rPr>
        <w:t>ס' 30). הנאמן הפנה לפש"ר (מחוזי חי') 591-02 </w:t>
      </w:r>
      <w:r w:rsidRPr="00707920">
        <w:rPr>
          <w:rFonts w:ascii="David" w:hAnsi="David"/>
          <w:b/>
          <w:bCs/>
          <w:rtl/>
        </w:rPr>
        <w:t>עו"ד נחום פישהנדלר, הנאמן לנכסי החייבים נ' אברמוב רבא חיים</w:t>
      </w:r>
      <w:r w:rsidRPr="00707920">
        <w:rPr>
          <w:rFonts w:ascii="David" w:hAnsi="David"/>
          <w:rtl/>
        </w:rPr>
        <w:t xml:space="preserve"> (נבו 10.12).לא הצלחתי לראות שיש הפניה למצב זהה למקרה דנן. </w:t>
      </w:r>
      <w:r w:rsidRPr="00707920">
        <w:rPr>
          <w:rFonts w:ascii="David" w:hAnsi="David"/>
        </w:rPr>
        <w:t xml:space="preserve"> </w:t>
      </w:r>
    </w:p>
    <w:p w14:paraId="3477C12C" w14:textId="77777777" w:rsidR="00707920" w:rsidRPr="00707920" w:rsidRDefault="00707920" w:rsidP="00707920">
      <w:pPr>
        <w:suppressLineNumbers/>
        <w:rPr>
          <w:rFonts w:ascii="David" w:hAnsi="David"/>
          <w:sz w:val="16"/>
          <w:szCs w:val="16"/>
        </w:rPr>
      </w:pPr>
      <w:r w:rsidRPr="00707920">
        <w:rPr>
          <w:rFonts w:ascii="David" w:hAnsi="David"/>
          <w:sz w:val="16"/>
          <w:szCs w:val="16"/>
          <w:rtl/>
        </w:rPr>
        <w:t xml:space="preserve"> </w:t>
      </w:r>
    </w:p>
    <w:p w14:paraId="713A8348" w14:textId="77777777" w:rsidR="00707920" w:rsidRPr="00707920" w:rsidRDefault="00707920" w:rsidP="00707920">
      <w:pPr>
        <w:suppressLineNumbers/>
        <w:rPr>
          <w:rFonts w:ascii="David" w:hAnsi="David"/>
          <w:b/>
          <w:bCs/>
          <w:sz w:val="16"/>
          <w:szCs w:val="16"/>
          <w:u w:val="single"/>
          <w:rtl/>
        </w:rPr>
      </w:pPr>
    </w:p>
    <w:p w14:paraId="6CCB5A3D" w14:textId="77777777" w:rsidR="00707920" w:rsidRPr="00707920" w:rsidRDefault="00707920" w:rsidP="00707920">
      <w:pPr>
        <w:pStyle w:val="3"/>
        <w:rPr>
          <w:rFonts w:ascii="David" w:hAnsi="David" w:cs="David"/>
          <w:rtl/>
        </w:rPr>
      </w:pPr>
      <w:bookmarkStart w:id="13" w:name="_Toc168898760"/>
      <w:r w:rsidRPr="00707920">
        <w:rPr>
          <w:rFonts w:ascii="David" w:hAnsi="David" w:cs="David"/>
          <w:rtl/>
        </w:rPr>
        <w:t>ג(2) התנגדות היחיד והגרושה השניה לפירוק השיתוף</w:t>
      </w:r>
      <w:bookmarkEnd w:id="13"/>
      <w:r w:rsidRPr="00707920">
        <w:rPr>
          <w:rFonts w:ascii="David" w:hAnsi="David" w:cs="David"/>
          <w:rtl/>
        </w:rPr>
        <w:t xml:space="preserve">  </w:t>
      </w:r>
    </w:p>
    <w:p w14:paraId="5051C461" w14:textId="77777777" w:rsidR="00707920" w:rsidRPr="00707920" w:rsidRDefault="00707920" w:rsidP="00707920">
      <w:pPr>
        <w:suppressLineNumbers/>
        <w:rPr>
          <w:rFonts w:ascii="David" w:hAnsi="David"/>
          <w:sz w:val="28"/>
          <w:szCs w:val="28"/>
          <w:u w:val="single"/>
          <w:rtl/>
        </w:rPr>
      </w:pPr>
    </w:p>
    <w:p w14:paraId="6BE79E91" w14:textId="77777777" w:rsidR="00707920" w:rsidRPr="00707920" w:rsidRDefault="00707920" w:rsidP="00707920">
      <w:pPr>
        <w:numPr>
          <w:ilvl w:val="0"/>
          <w:numId w:val="2"/>
        </w:numPr>
        <w:suppressLineNumbers/>
        <w:ind w:hanging="531"/>
        <w:contextualSpacing/>
        <w:jc w:val="both"/>
        <w:rPr>
          <w:rFonts w:ascii="David" w:hAnsi="David"/>
          <w:rtl/>
        </w:rPr>
      </w:pPr>
      <w:r w:rsidRPr="00707920">
        <w:rPr>
          <w:rFonts w:ascii="David" w:hAnsi="David"/>
          <w:b/>
          <w:bCs/>
          <w:u w:val="single"/>
          <w:rtl/>
        </w:rPr>
        <w:t xml:space="preserve">כמפורט להלן </w:t>
      </w:r>
      <w:r w:rsidRPr="00707920">
        <w:rPr>
          <w:rFonts w:ascii="David" w:hAnsi="David"/>
          <w:rtl/>
        </w:rPr>
        <w:t xml:space="preserve"> היחיד והגרושה השניה מתנגדים לבקשות הנאמן לפירוק שיתוף ולמינויו ככונס נכסים, וטוענים  למעשה שבהליכים שמאוחרים לעיקול יש כדי למנוע קבלתה</w:t>
      </w:r>
      <w:r w:rsidRPr="00707920">
        <w:rPr>
          <w:rFonts w:ascii="David" w:hAnsi="David"/>
        </w:rPr>
        <w:t xml:space="preserve"> </w:t>
      </w:r>
      <w:r w:rsidRPr="00707920">
        <w:rPr>
          <w:rFonts w:ascii="David" w:hAnsi="David"/>
          <w:rtl/>
        </w:rPr>
        <w:t>על יסוד הטעמים שפירטו להלן.</w:t>
      </w:r>
    </w:p>
    <w:p w14:paraId="2FBB1F02" w14:textId="77777777" w:rsidR="00707920" w:rsidRPr="00707920" w:rsidRDefault="00707920" w:rsidP="00707920">
      <w:pPr>
        <w:pStyle w:val="3"/>
        <w:rPr>
          <w:rFonts w:ascii="David" w:hAnsi="David" w:cs="David"/>
        </w:rPr>
      </w:pPr>
    </w:p>
    <w:p w14:paraId="38A14CCB" w14:textId="77777777" w:rsidR="00707920" w:rsidRPr="00707920" w:rsidRDefault="00707920" w:rsidP="00707920">
      <w:pPr>
        <w:pStyle w:val="3"/>
        <w:rPr>
          <w:rFonts w:ascii="David" w:hAnsi="David" w:cs="David"/>
          <w:rtl/>
        </w:rPr>
      </w:pPr>
      <w:bookmarkStart w:id="14" w:name="_Toc168898761"/>
      <w:r w:rsidRPr="00707920">
        <w:rPr>
          <w:rFonts w:ascii="David" w:hAnsi="David" w:cs="David"/>
          <w:rtl/>
        </w:rPr>
        <w:t>תמצית טענות היחיד</w:t>
      </w:r>
      <w:bookmarkEnd w:id="14"/>
      <w:r w:rsidRPr="00707920">
        <w:rPr>
          <w:rFonts w:ascii="David" w:hAnsi="David" w:cs="David"/>
          <w:rtl/>
        </w:rPr>
        <w:t xml:space="preserve">  </w:t>
      </w:r>
    </w:p>
    <w:p w14:paraId="1F0BE303" w14:textId="77777777" w:rsidR="00707920" w:rsidRPr="00707920" w:rsidRDefault="00707920" w:rsidP="00707920">
      <w:pPr>
        <w:numPr>
          <w:ilvl w:val="0"/>
          <w:numId w:val="2"/>
        </w:numPr>
        <w:suppressLineNumbers/>
        <w:ind w:hanging="531"/>
        <w:contextualSpacing/>
        <w:jc w:val="both"/>
        <w:rPr>
          <w:rFonts w:ascii="David" w:hAnsi="David"/>
          <w:b/>
          <w:bCs/>
          <w:sz w:val="16"/>
          <w:szCs w:val="16"/>
        </w:rPr>
      </w:pPr>
      <w:r w:rsidRPr="00707920">
        <w:rPr>
          <w:rFonts w:ascii="David" w:hAnsi="David"/>
          <w:b/>
          <w:bCs/>
          <w:u w:val="single"/>
          <w:rtl/>
        </w:rPr>
        <w:t xml:space="preserve">היחיד </w:t>
      </w:r>
      <w:r w:rsidRPr="00707920">
        <w:rPr>
          <w:rFonts w:ascii="David" w:hAnsi="David"/>
          <w:rtl/>
        </w:rPr>
        <w:t>-  התנגד לבקשה לבקשות הנאמן לפירוק השיתוף ולמינויו ככונס נכסים זאת כמפורט בתגובתו מיום 30.10.23 המשתרעת עם נספחיה על 11 עמודים ובתצהירו מיום 12.11.24 המשתרע עם נספחיו על 13 עמודים.</w:t>
      </w:r>
      <w:r w:rsidRPr="00707920">
        <w:rPr>
          <w:rFonts w:ascii="David" w:hAnsi="David"/>
          <w:b/>
          <w:bCs/>
          <w:sz w:val="16"/>
          <w:szCs w:val="16"/>
          <w:rtl/>
        </w:rPr>
        <w:t xml:space="preserve"> </w:t>
      </w:r>
    </w:p>
    <w:p w14:paraId="2610A6B5" w14:textId="77777777" w:rsidR="00707920" w:rsidRPr="00707920" w:rsidRDefault="00707920" w:rsidP="00707920">
      <w:pPr>
        <w:numPr>
          <w:ilvl w:val="0"/>
          <w:numId w:val="2"/>
        </w:numPr>
        <w:suppressLineNumbers/>
        <w:ind w:hanging="531"/>
        <w:contextualSpacing/>
        <w:jc w:val="both"/>
        <w:rPr>
          <w:rFonts w:ascii="David" w:hAnsi="David"/>
          <w:b/>
          <w:bCs/>
          <w:sz w:val="16"/>
          <w:szCs w:val="16"/>
        </w:rPr>
      </w:pPr>
      <w:r w:rsidRPr="00707920">
        <w:rPr>
          <w:rFonts w:ascii="David" w:hAnsi="David"/>
          <w:rtl/>
        </w:rPr>
        <w:t xml:space="preserve"> </w:t>
      </w:r>
      <w:r w:rsidRPr="00707920">
        <w:rPr>
          <w:rFonts w:ascii="David" w:hAnsi="David" w:hint="cs"/>
          <w:rtl/>
        </w:rPr>
        <w:t xml:space="preserve">ליחיד, טענה מרכזית שלפיה אין לו זכויות בנכס הואיל והזכויות הן של הגרושה השניה, (ס'25). היחיד התייחס, בין היתר, לנקודות העיקריות הבאות:   </w:t>
      </w:r>
    </w:p>
    <w:p w14:paraId="67D84591" w14:textId="77777777" w:rsidR="00707920" w:rsidRPr="00707920" w:rsidRDefault="00707920" w:rsidP="00707920">
      <w:pPr>
        <w:numPr>
          <w:ilvl w:val="1"/>
          <w:numId w:val="2"/>
        </w:numPr>
        <w:suppressLineNumbers/>
        <w:contextualSpacing/>
        <w:jc w:val="both"/>
        <w:rPr>
          <w:rFonts w:ascii="David" w:hAnsi="David"/>
        </w:rPr>
      </w:pPr>
      <w:r w:rsidRPr="00707920">
        <w:rPr>
          <w:rFonts w:ascii="David" w:hAnsi="David"/>
          <w:rtl/>
        </w:rPr>
        <w:t xml:space="preserve">היחיד מאשר, שהיו לו זכויות בעבר. היחיד, טוען שזהו המצב גם כיום ומזה שנים רבות לאחר שהזכויות  הועברו לגרושה השניה, אגב הליך גירושין ממנה, בהתאם לשורת פסקי דין חלוטים לעיל, ובהם </w:t>
      </w:r>
      <w:r w:rsidRPr="00707920">
        <w:rPr>
          <w:rFonts w:ascii="David" w:hAnsi="David"/>
          <w:b/>
          <w:bCs/>
          <w:rtl/>
        </w:rPr>
        <w:t>פסק הדין שהורה על רישום זכויות על שם הגרושה השנייה</w:t>
      </w:r>
      <w:r w:rsidRPr="00707920">
        <w:rPr>
          <w:rFonts w:ascii="David" w:hAnsi="David"/>
          <w:b/>
          <w:bCs/>
        </w:rPr>
        <w:t xml:space="preserve"> </w:t>
      </w:r>
      <w:r w:rsidRPr="00707920">
        <w:rPr>
          <w:rFonts w:ascii="David" w:hAnsi="David"/>
          <w:b/>
          <w:bCs/>
          <w:rtl/>
        </w:rPr>
        <w:t>(בה"פ 68985-05-18 ) .</w:t>
      </w:r>
      <w:r w:rsidRPr="00707920">
        <w:rPr>
          <w:rFonts w:ascii="David" w:hAnsi="David"/>
          <w:rtl/>
        </w:rPr>
        <w:t>לאחר פסק הדין בדבר אישור פסק הבוררות ופסק הבוררות עצמו. (ס'1+2 +18+ 25). היחיד טוען כי פסק הדין שהורה על רישום הזכויות,</w:t>
      </w:r>
      <w:r w:rsidRPr="00707920">
        <w:rPr>
          <w:rFonts w:ascii="David" w:hAnsi="David"/>
        </w:rPr>
        <w:t xml:space="preserve"> </w:t>
      </w:r>
      <w:r w:rsidRPr="00707920">
        <w:rPr>
          <w:rFonts w:ascii="David" w:hAnsi="David"/>
          <w:rtl/>
        </w:rPr>
        <w:t xml:space="preserve">ניתן </w:t>
      </w:r>
      <w:r w:rsidRPr="00707920">
        <w:rPr>
          <w:rFonts w:ascii="David" w:hAnsi="David"/>
        </w:rPr>
        <w:t xml:space="preserve"> </w:t>
      </w:r>
      <w:r w:rsidRPr="00707920">
        <w:rPr>
          <w:rFonts w:ascii="David" w:hAnsi="David"/>
          <w:rtl/>
        </w:rPr>
        <w:t xml:space="preserve">כי הזכויות לא נרשמו קודם לכן לפי נהלי רמ"י( ס17)    לא ראיתי שהיחיד   הסביר  מדוע לא נרשמו הזכוייות מאז פסק הדין ועד ליום הנפקת אישור הזכויות. </w:t>
      </w:r>
    </w:p>
    <w:p w14:paraId="6EF1C761" w14:textId="44385787" w:rsidR="00707920" w:rsidRPr="00707920" w:rsidRDefault="00707920" w:rsidP="006B5497">
      <w:pPr>
        <w:numPr>
          <w:ilvl w:val="1"/>
          <w:numId w:val="2"/>
        </w:numPr>
        <w:suppressLineNumbers/>
        <w:contextualSpacing/>
        <w:jc w:val="both"/>
        <w:rPr>
          <w:rFonts w:ascii="David" w:hAnsi="David"/>
          <w:rtl/>
        </w:rPr>
      </w:pPr>
      <w:r w:rsidRPr="00707920">
        <w:rPr>
          <w:rFonts w:ascii="David" w:hAnsi="David"/>
          <w:rtl/>
        </w:rPr>
        <w:t xml:space="preserve">היחיד הוסיף וטען שהעברת הזכויות שבוצעה לפני שנים, הייתה </w:t>
      </w:r>
      <w:r w:rsidRPr="00707920">
        <w:rPr>
          <w:rFonts w:ascii="David" w:hAnsi="David"/>
          <w:b/>
          <w:bCs/>
          <w:rtl/>
        </w:rPr>
        <w:t xml:space="preserve">ב"תמורה" </w:t>
      </w:r>
      <w:r w:rsidRPr="00707920">
        <w:rPr>
          <w:rFonts w:ascii="David" w:hAnsi="David"/>
          <w:rtl/>
        </w:rPr>
        <w:t xml:space="preserve"> הכוללת 5 רכיבים: 1. תשלום שביצעה הגרושה לנושיו דאז. 2 חוב המזונות שלו כלפיה 3.חוב המזונות שלו לגרושה השניה בגין בנם המשותף.  4. תמורה נוספת להעברת הזכויות לשם הגרושה הוא בכך שמימנה  לבדה </w:t>
      </w:r>
      <w:r w:rsidRPr="00707920">
        <w:rPr>
          <w:rFonts w:ascii="David" w:hAnsi="David"/>
        </w:rPr>
        <w:t xml:space="preserve"> </w:t>
      </w:r>
      <w:r w:rsidRPr="00707920">
        <w:rPr>
          <w:rFonts w:ascii="David" w:hAnsi="David"/>
          <w:rtl/>
        </w:rPr>
        <w:t xml:space="preserve"> את בנית הבית בנכס  בעזרת הלוואה מובטחת במשכנתה. 5.מסתבר שהיחיד </w:t>
      </w:r>
      <w:r w:rsidR="006B5497">
        <w:rPr>
          <w:rFonts w:ascii="David" w:hAnsi="David" w:hint="cs"/>
          <w:rtl/>
        </w:rPr>
        <w:t xml:space="preserve">סבור שבכך שהגרושה השניה נושאת גם עתה במלוא הנטל על החזקת הנכס יש תמורה  וזאת </w:t>
      </w:r>
      <w:r w:rsidRPr="00707920">
        <w:rPr>
          <w:rFonts w:ascii="David" w:hAnsi="David"/>
          <w:b/>
          <w:bCs/>
          <w:rtl/>
        </w:rPr>
        <w:t xml:space="preserve"> </w:t>
      </w:r>
      <w:r w:rsidRPr="00707920">
        <w:rPr>
          <w:rFonts w:ascii="David" w:hAnsi="David"/>
          <w:b/>
          <w:bCs/>
        </w:rPr>
        <w:t xml:space="preserve"> </w:t>
      </w:r>
      <w:r w:rsidRPr="00707920">
        <w:rPr>
          <w:rFonts w:ascii="David" w:hAnsi="David"/>
          <w:b/>
          <w:bCs/>
          <w:rtl/>
        </w:rPr>
        <w:t>גם כיום כאשר הוא מתגורר בו (סעיפים 2-3)</w:t>
      </w:r>
    </w:p>
    <w:p w14:paraId="4C7AD02B" w14:textId="77777777" w:rsidR="00707920" w:rsidRPr="00707920" w:rsidRDefault="00707920" w:rsidP="00707920">
      <w:pPr>
        <w:numPr>
          <w:ilvl w:val="1"/>
          <w:numId w:val="2"/>
        </w:numPr>
        <w:suppressLineNumbers/>
        <w:contextualSpacing/>
        <w:jc w:val="both"/>
        <w:rPr>
          <w:rFonts w:ascii="David" w:hAnsi="David"/>
        </w:rPr>
      </w:pPr>
      <w:r w:rsidRPr="00707920">
        <w:rPr>
          <w:rFonts w:ascii="David" w:hAnsi="David"/>
          <w:rtl/>
        </w:rPr>
        <w:t>היחיד</w:t>
      </w:r>
      <w:r w:rsidRPr="00707920">
        <w:rPr>
          <w:rFonts w:ascii="David" w:hAnsi="David"/>
          <w:b/>
          <w:bCs/>
          <w:rtl/>
        </w:rPr>
        <w:t xml:space="preserve"> בחר לטעון </w:t>
      </w:r>
      <w:r w:rsidRPr="00707920">
        <w:rPr>
          <w:rFonts w:ascii="David" w:hAnsi="David"/>
          <w:rtl/>
        </w:rPr>
        <w:t>שהגרושה הראשונה פעלה ב</w:t>
      </w:r>
      <w:r w:rsidRPr="00707920">
        <w:rPr>
          <w:rFonts w:ascii="David" w:hAnsi="David"/>
          <w:b/>
          <w:bCs/>
          <w:rtl/>
        </w:rPr>
        <w:t>"חוסר תום לב</w:t>
      </w:r>
      <w:r w:rsidRPr="00707920">
        <w:rPr>
          <w:rFonts w:ascii="David" w:hAnsi="David"/>
          <w:rtl/>
        </w:rPr>
        <w:t xml:space="preserve">" משתי בחינות עיקריות: א. הבחינה הראשונה היא בכך שלטענתו, פעלה בשיהוי ניכר וישנה על זכויותיה. </w:t>
      </w:r>
      <w:r w:rsidRPr="00707920">
        <w:rPr>
          <w:rFonts w:ascii="David" w:hAnsi="David"/>
        </w:rPr>
        <w:t xml:space="preserve"> </w:t>
      </w:r>
      <w:r w:rsidRPr="00707920">
        <w:rPr>
          <w:rFonts w:ascii="David" w:hAnsi="David"/>
          <w:rtl/>
        </w:rPr>
        <w:t xml:space="preserve">ב.הבחינה השנייה היא בכך שלטענתו השיהוי </w:t>
      </w:r>
      <w:r w:rsidRPr="00707920">
        <w:rPr>
          <w:rFonts w:ascii="David" w:hAnsi="David"/>
          <w:rtl/>
        </w:rPr>
        <w:lastRenderedPageBreak/>
        <w:t xml:space="preserve">הניכר בכך שפעלה כעבור שנים  נועד להגדיל את  גובה החוב כלפיה. לטענתו היא סירבה בעבר למה שכינה כהצעה ראויה לפירעון החוב. </w:t>
      </w:r>
    </w:p>
    <w:p w14:paraId="1E90EC3F" w14:textId="77777777" w:rsidR="00707920" w:rsidRPr="00707920" w:rsidRDefault="00707920" w:rsidP="00707920">
      <w:pPr>
        <w:numPr>
          <w:ilvl w:val="1"/>
          <w:numId w:val="2"/>
        </w:numPr>
        <w:suppressLineNumbers/>
        <w:contextualSpacing/>
        <w:jc w:val="both"/>
        <w:rPr>
          <w:rFonts w:ascii="David" w:hAnsi="David"/>
        </w:rPr>
      </w:pPr>
    </w:p>
    <w:p w14:paraId="38C3F292" w14:textId="77777777" w:rsidR="00707920" w:rsidRPr="00707920" w:rsidRDefault="00707920" w:rsidP="00707920">
      <w:pPr>
        <w:numPr>
          <w:ilvl w:val="1"/>
          <w:numId w:val="2"/>
        </w:numPr>
        <w:suppressLineNumbers/>
        <w:contextualSpacing/>
        <w:jc w:val="both"/>
        <w:rPr>
          <w:rFonts w:ascii="David" w:hAnsi="David"/>
          <w:b/>
          <w:bCs/>
          <w:u w:val="single"/>
        </w:rPr>
      </w:pPr>
      <w:r w:rsidRPr="00707920">
        <w:rPr>
          <w:rFonts w:ascii="David" w:hAnsi="David"/>
          <w:b/>
          <w:bCs/>
          <w:rtl/>
        </w:rPr>
        <w:t xml:space="preserve"> היחיד טען שבעצמו פעל בתום לב. לאורך כל הדרך</w:t>
      </w:r>
      <w:r w:rsidRPr="00707920">
        <w:rPr>
          <w:rFonts w:ascii="David" w:hAnsi="David"/>
          <w:b/>
          <w:bCs/>
        </w:rPr>
        <w:t xml:space="preserve"> </w:t>
      </w:r>
      <w:r w:rsidRPr="00707920">
        <w:rPr>
          <w:rFonts w:ascii="David" w:hAnsi="David"/>
          <w:b/>
          <w:bCs/>
          <w:rtl/>
        </w:rPr>
        <w:t xml:space="preserve">- </w:t>
      </w:r>
      <w:r w:rsidRPr="00707920">
        <w:rPr>
          <w:rFonts w:ascii="David" w:hAnsi="David"/>
          <w:rtl/>
        </w:rPr>
        <w:t xml:space="preserve">( ס' 10). היחיד לא כפר בכך שלא התגונן בפני הבורר (ס' 20) אך טען שלא נדרש להתגונן כי הליך הבוררות עסק בסכסוך בינו לגרושה השניה ובחוב מולה. </w:t>
      </w:r>
    </w:p>
    <w:p w14:paraId="503DA208" w14:textId="77777777" w:rsidR="00707920" w:rsidRPr="00707920" w:rsidRDefault="00707920" w:rsidP="00707920">
      <w:pPr>
        <w:numPr>
          <w:ilvl w:val="1"/>
          <w:numId w:val="2"/>
        </w:numPr>
        <w:suppressLineNumbers/>
        <w:contextualSpacing/>
        <w:jc w:val="both"/>
        <w:rPr>
          <w:rFonts w:ascii="David" w:hAnsi="David"/>
        </w:rPr>
      </w:pPr>
      <w:r w:rsidRPr="00707920">
        <w:rPr>
          <w:rFonts w:ascii="David" w:hAnsi="David"/>
          <w:b/>
          <w:bCs/>
          <w:u w:val="single"/>
          <w:rtl/>
        </w:rPr>
        <w:t>אקדים ואציין -</w:t>
      </w:r>
      <w:r w:rsidRPr="00707920">
        <w:rPr>
          <w:rFonts w:ascii="David" w:hAnsi="David"/>
          <w:rtl/>
        </w:rPr>
        <w:t xml:space="preserve"> ביחס לטענות שבחר היחיד לטעון כלפי הגרושה הראשונה - אציין שראיתי קושי בכך שיחיד שלא שילם מזונות פרק זמן רב מחליט לטעון </w:t>
      </w:r>
      <w:r w:rsidRPr="00707920">
        <w:rPr>
          <w:rFonts w:ascii="David" w:hAnsi="David"/>
        </w:rPr>
        <w:t xml:space="preserve"> </w:t>
      </w:r>
      <w:r w:rsidRPr="00707920">
        <w:rPr>
          <w:rFonts w:ascii="David" w:hAnsi="David"/>
          <w:rtl/>
        </w:rPr>
        <w:t xml:space="preserve">כי המתינה.  הרי המפתח למוצא מהסיטואציה היה לכאורה בכיסו בעזרת נכסיו גם קודם לכן. היחיד לא הבהיר מדוע לא פרע </w:t>
      </w:r>
      <w:r w:rsidRPr="00707920">
        <w:rPr>
          <w:rFonts w:ascii="David" w:hAnsi="David"/>
        </w:rPr>
        <w:t xml:space="preserve"> </w:t>
      </w:r>
      <w:r w:rsidRPr="00707920">
        <w:rPr>
          <w:rFonts w:ascii="David" w:hAnsi="David"/>
          <w:rtl/>
        </w:rPr>
        <w:t>חלק מהקרן מול הגרושה הראשונה כשמה שכינה כהצעה ראויה לא התקבל, וגם  לא הבהיר כיצד, אם בכלל, אמד את שווי הזכויות שהיו לו בנכס</w:t>
      </w:r>
      <w:r w:rsidRPr="00707920">
        <w:rPr>
          <w:rFonts w:ascii="David" w:hAnsi="David"/>
        </w:rPr>
        <w:t xml:space="preserve"> </w:t>
      </w:r>
      <w:r w:rsidRPr="00707920">
        <w:rPr>
          <w:rFonts w:ascii="David" w:hAnsi="David"/>
          <w:rtl/>
        </w:rPr>
        <w:t xml:space="preserve">(ולו לפני הקמת המבנה שהייתה לטענתו מכספי הגרושה).  </w:t>
      </w:r>
    </w:p>
    <w:p w14:paraId="677DE253" w14:textId="77777777" w:rsidR="00707920" w:rsidRPr="00707920" w:rsidRDefault="00707920" w:rsidP="00707920">
      <w:pPr>
        <w:numPr>
          <w:ilvl w:val="1"/>
          <w:numId w:val="2"/>
        </w:numPr>
        <w:contextualSpacing/>
        <w:jc w:val="both"/>
        <w:rPr>
          <w:rFonts w:ascii="David" w:hAnsi="David"/>
        </w:rPr>
      </w:pPr>
      <w:r w:rsidRPr="00707920">
        <w:rPr>
          <w:rFonts w:ascii="David" w:hAnsi="David"/>
          <w:rtl/>
        </w:rPr>
        <w:t xml:space="preserve">היחיד מאשר שהוא מתגורר במשק וטען שמגוריו במשק הם לבקשת בנו.  </w:t>
      </w:r>
    </w:p>
    <w:p w14:paraId="636066B0" w14:textId="77777777" w:rsidR="00707920" w:rsidRPr="00707920" w:rsidRDefault="00707920" w:rsidP="00707920">
      <w:pPr>
        <w:numPr>
          <w:ilvl w:val="1"/>
          <w:numId w:val="2"/>
        </w:numPr>
        <w:contextualSpacing/>
        <w:jc w:val="both"/>
        <w:rPr>
          <w:rFonts w:ascii="David" w:hAnsi="David"/>
        </w:rPr>
      </w:pPr>
      <w:r w:rsidRPr="00707920">
        <w:rPr>
          <w:rFonts w:ascii="David" w:hAnsi="David"/>
          <w:rtl/>
        </w:rPr>
        <w:t>לגבי פסק הבורר - היחיד ציין גם שהבורר היה רב וטען שההליך התנהל בדרכי שלום, במגמה לסיים את סכסוך הגירושין, לאחר שלא שילם מזונות, ללא עורכי דין וממילא כפר בטענה שהיו מיוצגים ע"י אותו עורך דין. לטענתו, אף צד לא היה מיוצג  בפני הבורר אף אם היו מיוצגים בהליך הפרוצדוראלי של אישור פסק הבורר (ס' 22 ).</w:t>
      </w:r>
    </w:p>
    <w:p w14:paraId="0450544B" w14:textId="77777777" w:rsidR="00707920" w:rsidRPr="00707920" w:rsidRDefault="00707920" w:rsidP="00707920">
      <w:pPr>
        <w:numPr>
          <w:ilvl w:val="1"/>
          <w:numId w:val="2"/>
        </w:numPr>
        <w:contextualSpacing/>
        <w:jc w:val="both"/>
        <w:rPr>
          <w:rFonts w:ascii="David" w:hAnsi="David"/>
        </w:rPr>
      </w:pPr>
      <w:r w:rsidRPr="00707920">
        <w:rPr>
          <w:rFonts w:ascii="David" w:hAnsi="David"/>
          <w:rtl/>
        </w:rPr>
        <w:t xml:space="preserve"> </w:t>
      </w:r>
      <w:r w:rsidRPr="00707920">
        <w:rPr>
          <w:rFonts w:ascii="David" w:hAnsi="David" w:hint="cs"/>
          <w:rtl/>
        </w:rPr>
        <w:t>היחיד טען שפסק הבורר  התייחס לעיקול  אף שכאמור לא ראיתי  התייחסות ברורה לעיקול שכבר הוטל אלא  לבקשת הבורר מראש ההוצל"פ</w:t>
      </w:r>
      <w:r w:rsidRPr="00707920">
        <w:rPr>
          <w:rFonts w:ascii="David" w:hAnsi="David"/>
        </w:rPr>
        <w:t xml:space="preserve"> </w:t>
      </w:r>
      <w:r w:rsidRPr="00707920">
        <w:rPr>
          <w:rFonts w:ascii="David" w:hAnsi="David"/>
          <w:rtl/>
        </w:rPr>
        <w:t xml:space="preserve">ש"במדה והנ"ל תבקש צוי מניעה או עיירת אזהרה או עיקול. כדי למנוע נישול אישה עשוקה זו מנכסיה המועדם והדלים עדי יתקיים דיון מסודר". </w:t>
      </w:r>
    </w:p>
    <w:p w14:paraId="18BE795F" w14:textId="77777777" w:rsidR="00707920" w:rsidRPr="00707920" w:rsidRDefault="00707920" w:rsidP="00707920">
      <w:pPr>
        <w:pStyle w:val="3"/>
        <w:rPr>
          <w:rFonts w:ascii="David" w:hAnsi="David" w:cs="David"/>
        </w:rPr>
      </w:pPr>
      <w:r w:rsidRPr="00707920">
        <w:rPr>
          <w:rFonts w:ascii="David" w:hAnsi="David" w:cs="David"/>
          <w:rtl/>
        </w:rPr>
        <w:t xml:space="preserve"> </w:t>
      </w:r>
      <w:bookmarkStart w:id="15" w:name="_Toc168898762"/>
      <w:r w:rsidRPr="00707920">
        <w:rPr>
          <w:rFonts w:ascii="David" w:hAnsi="David" w:cs="David"/>
          <w:rtl/>
        </w:rPr>
        <w:t>תמצית טענות הגרושה  השנייה</w:t>
      </w:r>
      <w:bookmarkEnd w:id="15"/>
      <w:r w:rsidRPr="00707920">
        <w:rPr>
          <w:rFonts w:ascii="David" w:hAnsi="David" w:cs="David"/>
          <w:rtl/>
        </w:rPr>
        <w:t xml:space="preserve"> </w:t>
      </w:r>
    </w:p>
    <w:p w14:paraId="5E42E6DC" w14:textId="77777777" w:rsidR="00707920" w:rsidRPr="00707920" w:rsidRDefault="00707920" w:rsidP="00707920">
      <w:pPr>
        <w:jc w:val="both"/>
        <w:rPr>
          <w:rFonts w:ascii="David" w:hAnsi="David"/>
          <w:rtl/>
        </w:rPr>
      </w:pPr>
      <w:r w:rsidRPr="00707920">
        <w:rPr>
          <w:rFonts w:ascii="David" w:hAnsi="David"/>
          <w:rtl/>
        </w:rPr>
        <w:t xml:space="preserve"> </w:t>
      </w:r>
    </w:p>
    <w:p w14:paraId="479F6C59" w14:textId="77777777" w:rsidR="00707920" w:rsidRPr="00707920" w:rsidRDefault="00707920" w:rsidP="00707920">
      <w:pPr>
        <w:numPr>
          <w:ilvl w:val="0"/>
          <w:numId w:val="2"/>
        </w:numPr>
        <w:suppressLineNumbers/>
        <w:ind w:hanging="531"/>
        <w:contextualSpacing/>
        <w:jc w:val="both"/>
        <w:rPr>
          <w:rFonts w:ascii="David" w:hAnsi="David"/>
        </w:rPr>
      </w:pPr>
      <w:r w:rsidRPr="00707920">
        <w:rPr>
          <w:rFonts w:ascii="David" w:hAnsi="David"/>
          <w:rtl/>
        </w:rPr>
        <w:t xml:space="preserve"> </w:t>
      </w:r>
      <w:r w:rsidRPr="00707920">
        <w:rPr>
          <w:rFonts w:ascii="David" w:hAnsi="David"/>
        </w:rPr>
        <w:t xml:space="preserve">  </w:t>
      </w:r>
      <w:r w:rsidRPr="00707920">
        <w:rPr>
          <w:rFonts w:ascii="David" w:hAnsi="David"/>
          <w:b/>
          <w:bCs/>
          <w:u w:val="single"/>
          <w:rtl/>
        </w:rPr>
        <w:t xml:space="preserve">הגרושה השניה </w:t>
      </w:r>
      <w:r w:rsidRPr="00707920">
        <w:rPr>
          <w:rFonts w:ascii="David" w:hAnsi="David"/>
          <w:rtl/>
        </w:rPr>
        <w:t xml:space="preserve">  הגישה תגובה  דומה לתגובה שהגישה היחיד ו. גם הגרושה  השנייה התנגדה    לבקשות הנאמן שעיקרן לפירוק השיתוף ולמינוי הנאמן ככונס נכסים אולם, דומה שלהבדיל מהיחיד ציינה בברור את  חשיבות ההסדר גם מול הגרושה הראשונה </w:t>
      </w:r>
      <w:r w:rsidRPr="00707920">
        <w:rPr>
          <w:rFonts w:ascii="David" w:hAnsi="David"/>
        </w:rPr>
        <w:t xml:space="preserve"> </w:t>
      </w:r>
    </w:p>
    <w:p w14:paraId="4A0C77C9" w14:textId="77777777" w:rsidR="00707920" w:rsidRPr="00707920" w:rsidRDefault="00707920" w:rsidP="00707920">
      <w:pPr>
        <w:numPr>
          <w:ilvl w:val="0"/>
          <w:numId w:val="2"/>
        </w:numPr>
        <w:suppressLineNumbers/>
        <w:ind w:hanging="531"/>
        <w:contextualSpacing/>
        <w:jc w:val="both"/>
        <w:rPr>
          <w:rFonts w:ascii="David" w:hAnsi="David"/>
        </w:rPr>
      </w:pPr>
      <w:r w:rsidRPr="00707920">
        <w:rPr>
          <w:rFonts w:ascii="David" w:hAnsi="David"/>
          <w:rtl/>
        </w:rPr>
        <w:t xml:space="preserve">הגרושה השניה טענה שהנאמן מבקש לבצע ניסיון </w:t>
      </w:r>
      <w:r w:rsidRPr="00707920">
        <w:rPr>
          <w:rFonts w:ascii="David" w:hAnsi="David"/>
        </w:rPr>
        <w:t xml:space="preserve"> </w:t>
      </w:r>
      <w:r w:rsidRPr="00707920">
        <w:rPr>
          <w:rFonts w:ascii="David" w:hAnsi="David"/>
          <w:rtl/>
        </w:rPr>
        <w:t xml:space="preserve">  נוסף לפגוע בזכויותיה "הקנינייות" תוך הצגה לא מדויקת של הדברים  .(עמוד 2 לתגובה ) בהתעלם </w:t>
      </w:r>
      <w:r w:rsidRPr="00707920">
        <w:rPr>
          <w:rFonts w:ascii="David" w:hAnsi="David"/>
        </w:rPr>
        <w:t xml:space="preserve"> </w:t>
      </w:r>
      <w:r w:rsidRPr="00707920">
        <w:rPr>
          <w:rFonts w:ascii="David" w:hAnsi="David"/>
          <w:rtl/>
        </w:rPr>
        <w:t xml:space="preserve">מהחלטות הערכאות קודמות ( ס'  1 לסיכום)   עם  זאת סיכמה </w:t>
      </w:r>
      <w:r w:rsidRPr="00707920">
        <w:rPr>
          <w:rFonts w:ascii="David" w:hAnsi="David"/>
        </w:rPr>
        <w:t xml:space="preserve"> </w:t>
      </w:r>
      <w:r w:rsidRPr="00707920">
        <w:rPr>
          <w:rFonts w:ascii="David" w:hAnsi="David"/>
          <w:u w:val="single"/>
          <w:rtl/>
        </w:rPr>
        <w:t>שהיא מוכנה לעשות  ככל שניתן ו</w:t>
      </w:r>
      <w:r w:rsidRPr="00707920">
        <w:rPr>
          <w:rFonts w:ascii="David" w:hAnsi="David"/>
          <w:rtl/>
        </w:rPr>
        <w:t>להפעיל את כובד משקלה לטובת הסדר  עם גרושה הראשונה לרבות  להפציר בבנה המשותף עם החייב ( סעיף 6 לסיכום)  . יצוין שבתצהירה טענה גם שמתן צו פירוק יהיה תיקון העוול כלפי הגרושה הראשונה ביצירת עוול אחר כלפיה  . לטענתה  "</w:t>
      </w:r>
      <w:r w:rsidRPr="00707920">
        <w:rPr>
          <w:rFonts w:ascii="David" w:hAnsi="David"/>
          <w:b/>
          <w:bCs/>
          <w:rtl/>
        </w:rPr>
        <w:t>ראוי שלא לתקן עוול בעוול אחר "</w:t>
      </w:r>
      <w:r w:rsidRPr="00707920">
        <w:rPr>
          <w:rFonts w:ascii="David" w:hAnsi="David"/>
          <w:rtl/>
        </w:rPr>
        <w:t>( סעיף 24)  "</w:t>
      </w:r>
    </w:p>
    <w:p w14:paraId="5B5C319C" w14:textId="77777777" w:rsidR="00707920" w:rsidRPr="00707920" w:rsidRDefault="00707920" w:rsidP="00707920">
      <w:pPr>
        <w:numPr>
          <w:ilvl w:val="0"/>
          <w:numId w:val="2"/>
        </w:numPr>
        <w:suppressLineNumbers/>
        <w:ind w:hanging="531"/>
        <w:contextualSpacing/>
        <w:jc w:val="both"/>
        <w:rPr>
          <w:rFonts w:ascii="David" w:hAnsi="David"/>
        </w:rPr>
      </w:pPr>
      <w:r w:rsidRPr="00707920">
        <w:rPr>
          <w:rFonts w:ascii="David" w:hAnsi="David"/>
          <w:rtl/>
        </w:rPr>
        <w:t>תגובתה של הגרושה השניה מפורטת בתגובתה מיום 17.12.23 ותצהירה ביום 2.1.24   .</w:t>
      </w:r>
    </w:p>
    <w:p w14:paraId="7AE81478" w14:textId="77777777" w:rsidR="00707920" w:rsidRPr="00707920" w:rsidRDefault="00707920" w:rsidP="00707920">
      <w:pPr>
        <w:numPr>
          <w:ilvl w:val="0"/>
          <w:numId w:val="2"/>
        </w:numPr>
        <w:suppressLineNumbers/>
        <w:ind w:hanging="531"/>
        <w:contextualSpacing/>
        <w:jc w:val="both"/>
        <w:rPr>
          <w:rFonts w:ascii="David" w:hAnsi="David"/>
        </w:rPr>
      </w:pPr>
      <w:r w:rsidRPr="00707920">
        <w:rPr>
          <w:rFonts w:ascii="David" w:hAnsi="David"/>
          <w:rtl/>
        </w:rPr>
        <w:t xml:space="preserve">  הגרושה השניה התנגד לבקשת הנאמן לפירוק השיתוף מהטעמים העיקריים הבאים  :</w:t>
      </w:r>
    </w:p>
    <w:p w14:paraId="346647E4" w14:textId="77777777" w:rsidR="00707920" w:rsidRPr="00707920" w:rsidRDefault="00707920" w:rsidP="00707920">
      <w:pPr>
        <w:numPr>
          <w:ilvl w:val="1"/>
          <w:numId w:val="2"/>
        </w:numPr>
        <w:contextualSpacing/>
        <w:jc w:val="both"/>
        <w:rPr>
          <w:rFonts w:ascii="David" w:hAnsi="David"/>
        </w:rPr>
      </w:pPr>
      <w:r w:rsidRPr="00707920">
        <w:rPr>
          <w:rFonts w:ascii="David" w:hAnsi="David"/>
          <w:rtl/>
        </w:rPr>
        <w:t>הגרושה השניה טענה שהגרושה הראשונה, ישנה על זכויותיה. לשיטתה , קיימת התיישנות  מאז  פסק הבוררות כי ניתן לפי 24 שנים, ואף יש התישנות  מאז הבקשה לביטול פסק הדין, כי הוגשה</w:t>
      </w:r>
      <w:r w:rsidRPr="00707920">
        <w:rPr>
          <w:rFonts w:ascii="David" w:hAnsi="David"/>
        </w:rPr>
        <w:t xml:space="preserve"> </w:t>
      </w:r>
      <w:r w:rsidRPr="00707920">
        <w:rPr>
          <w:rFonts w:ascii="David" w:hAnsi="David"/>
          <w:rtl/>
        </w:rPr>
        <w:t>כ9 שנים לפני פתיחת ההליך דנן ( סעיף 2) . לחילופין, הגרושה השניה  טענה לשיהוי  אזרחי  כי המדובר בטענה לחוב מכוח פסק דין שניתן כבר כ 33 שנה קודם לכן תוך</w:t>
      </w:r>
      <w:r w:rsidRPr="00707920">
        <w:rPr>
          <w:rFonts w:ascii="David" w:hAnsi="David"/>
        </w:rPr>
        <w:t xml:space="preserve"> </w:t>
      </w:r>
      <w:r w:rsidRPr="00707920">
        <w:rPr>
          <w:rFonts w:ascii="David" w:hAnsi="David"/>
          <w:rtl/>
        </w:rPr>
        <w:t>שימוש בהליכי הוצאה לפועל  כתכנית חיסכון משתלמת ( סעי 3)</w:t>
      </w:r>
      <w:r w:rsidRPr="00707920">
        <w:rPr>
          <w:rFonts w:ascii="David" w:hAnsi="David"/>
        </w:rPr>
        <w:t xml:space="preserve"> </w:t>
      </w:r>
      <w:r w:rsidRPr="00707920">
        <w:rPr>
          <w:rFonts w:ascii="David" w:hAnsi="David"/>
          <w:rtl/>
        </w:rPr>
        <w:t xml:space="preserve"> עם זאת  כאמור  ציינה שמוכנה לעשות הכל להסדר . ככל שהיו חילופי מסמכים סביב הצעת הסדר אליה התייחס גם היחיד סביב טענתה של הגרושה  לקיום הזכות הם  לא צורפו  ולא ברור שהייתה לצידם טענת התיישנות </w:t>
      </w:r>
    </w:p>
    <w:p w14:paraId="52E0B8E3" w14:textId="77777777" w:rsidR="00707920" w:rsidRPr="00707920" w:rsidRDefault="00707920" w:rsidP="00707920">
      <w:pPr>
        <w:numPr>
          <w:ilvl w:val="1"/>
          <w:numId w:val="2"/>
        </w:numPr>
        <w:contextualSpacing/>
        <w:jc w:val="both"/>
        <w:rPr>
          <w:rFonts w:ascii="David" w:hAnsi="David"/>
        </w:rPr>
      </w:pPr>
      <w:r w:rsidRPr="00707920">
        <w:rPr>
          <w:rFonts w:ascii="David" w:hAnsi="David"/>
          <w:b/>
          <w:bCs/>
          <w:rtl/>
        </w:rPr>
        <w:t>הגרושה השניה, טענה במפורש  שהנאמן אינו יכול לבקש פירוק שיתוף כי הוא אינו  שותף במקרקעין והיחיד אינו שותף במקרקעין כי לא מתקיימת הדרישה שבסעיף 37</w:t>
      </w:r>
      <w:r w:rsidRPr="00707920">
        <w:rPr>
          <w:rFonts w:ascii="David" w:hAnsi="David"/>
          <w:rtl/>
        </w:rPr>
        <w:t xml:space="preserve"> (א) לחוק המקרקעין  שהוא לטענת הגרושה השניה הסעיף החל (ס'  4) </w:t>
      </w:r>
    </w:p>
    <w:p w14:paraId="1221CC1C" w14:textId="77777777" w:rsidR="00707920" w:rsidRPr="00707920" w:rsidRDefault="00707920" w:rsidP="00707920">
      <w:pPr>
        <w:numPr>
          <w:ilvl w:val="1"/>
          <w:numId w:val="2"/>
        </w:numPr>
        <w:contextualSpacing/>
        <w:jc w:val="both"/>
        <w:rPr>
          <w:rFonts w:ascii="David" w:hAnsi="David"/>
        </w:rPr>
      </w:pPr>
      <w:r w:rsidRPr="00707920">
        <w:rPr>
          <w:rFonts w:ascii="David" w:hAnsi="David"/>
          <w:rtl/>
        </w:rPr>
        <w:t xml:space="preserve">הגרושה השניה טענה ש </w:t>
      </w:r>
      <w:r w:rsidRPr="00707920">
        <w:rPr>
          <w:rFonts w:ascii="David" w:hAnsi="David"/>
          <w:b/>
          <w:bCs/>
          <w:rtl/>
        </w:rPr>
        <w:t>פסק הדין  בהמרצה שהורה על רישום זכויות על שם הגרושה השנייה</w:t>
      </w:r>
      <w:r w:rsidRPr="00707920">
        <w:rPr>
          <w:rFonts w:ascii="David" w:hAnsi="David"/>
        </w:rPr>
        <w:t xml:space="preserve"> "</w:t>
      </w:r>
      <w:r w:rsidRPr="00707920">
        <w:rPr>
          <w:rFonts w:ascii="David" w:hAnsi="David"/>
          <w:rtl/>
        </w:rPr>
        <w:t xml:space="preserve">)  </w:t>
      </w:r>
      <w:r w:rsidRPr="00707920">
        <w:rPr>
          <w:rFonts w:ascii="David" w:hAnsi="David"/>
        </w:rPr>
        <w:t xml:space="preserve"> </w:t>
      </w:r>
      <w:r w:rsidRPr="00707920">
        <w:rPr>
          <w:rFonts w:ascii="David" w:hAnsi="David"/>
          <w:rtl/>
        </w:rPr>
        <w:t xml:space="preserve">"כהעברה דמי" ( סעיף 10) בהמשך טענה ,שהליך  הרישום ברמ"י הוא טכני בלבד ומשום הצו בפסק הדין </w:t>
      </w:r>
      <w:r w:rsidRPr="00707920">
        <w:rPr>
          <w:rFonts w:ascii="David" w:hAnsi="David"/>
        </w:rPr>
        <w:t xml:space="preserve">  </w:t>
      </w:r>
      <w:r w:rsidRPr="00707920">
        <w:rPr>
          <w:rFonts w:ascii="David" w:hAnsi="David"/>
          <w:rtl/>
        </w:rPr>
        <w:t>יש לראות  את הזכויות  כרשומות ( ס'18) לשיטתה המדובר בפסק דין הצהרתי ( ס</w:t>
      </w:r>
      <w:r w:rsidRPr="00707920">
        <w:rPr>
          <w:rFonts w:ascii="David" w:hAnsi="David"/>
          <w:b/>
          <w:bCs/>
          <w:rtl/>
        </w:rPr>
        <w:t xml:space="preserve">'37) </w:t>
      </w:r>
      <w:r w:rsidRPr="00707920">
        <w:rPr>
          <w:rFonts w:ascii="David" w:hAnsi="David"/>
          <w:rtl/>
        </w:rPr>
        <w:t xml:space="preserve">אוסיף שבתצהירה טענה </w:t>
      </w:r>
      <w:r w:rsidRPr="00707920">
        <w:rPr>
          <w:rFonts w:ascii="David" w:hAnsi="David"/>
          <w:noProof w:val="0"/>
          <w:sz w:val="20"/>
          <w:szCs w:val="20"/>
          <w:rtl/>
        </w:rPr>
        <w:t>ש</w:t>
      </w:r>
      <w:r w:rsidRPr="00707920">
        <w:rPr>
          <w:rFonts w:ascii="David" w:hAnsi="David"/>
          <w:rtl/>
        </w:rPr>
        <w:t xml:space="preserve">בפני בית המשפט המחוזי שהורה על רישום הזכות על שמה היו כל העובדות הנתונים ( ס' 9 לתצהירה )  ושבית המשפט ידע גם על העיקול הקיים   ( סעיף 13 שם   )  וציינה גם  אך למרות נסיונותיה לרישום הנכס עקב העיקול הרישום לא בוצע לפי טענתה "מטעמים טכניים"  </w:t>
      </w:r>
    </w:p>
    <w:p w14:paraId="35A01A60" w14:textId="77777777" w:rsidR="00707920" w:rsidRPr="00707920" w:rsidRDefault="00707920" w:rsidP="00707920">
      <w:pPr>
        <w:numPr>
          <w:ilvl w:val="1"/>
          <w:numId w:val="2"/>
        </w:numPr>
        <w:suppressLineNumbers/>
        <w:contextualSpacing/>
        <w:jc w:val="both"/>
        <w:rPr>
          <w:rFonts w:ascii="David" w:hAnsi="David"/>
          <w:rtl/>
        </w:rPr>
      </w:pPr>
      <w:r w:rsidRPr="00707920">
        <w:rPr>
          <w:rFonts w:ascii="David" w:hAnsi="David"/>
          <w:rtl/>
        </w:rPr>
        <w:t xml:space="preserve">הגרושה השניה טענה שהעיקול  שהטילה הגרושה הראשונה אינו יכול לפגוע בזכותה , וברישום, </w:t>
      </w:r>
      <w:r w:rsidRPr="00707920">
        <w:rPr>
          <w:rFonts w:ascii="David" w:hAnsi="David"/>
        </w:rPr>
        <w:t xml:space="preserve"> </w:t>
      </w:r>
      <w:r w:rsidRPr="00707920">
        <w:rPr>
          <w:rFonts w:ascii="David" w:hAnsi="David"/>
          <w:rtl/>
        </w:rPr>
        <w:t xml:space="preserve">כי בתחרות הזכויות, עיקול לא גובר על התחייבות וזאת מכוח ע"א 189/95‏ </w:t>
      </w:r>
      <w:r w:rsidRPr="00707920">
        <w:rPr>
          <w:rFonts w:ascii="David" w:hAnsi="David"/>
          <w:b/>
          <w:bCs/>
          <w:rtl/>
        </w:rPr>
        <w:t>בנק אוצר החייל בע"מ נ' אהרונוב,</w:t>
      </w:r>
      <w:r w:rsidRPr="00707920">
        <w:rPr>
          <w:rFonts w:ascii="David" w:hAnsi="David"/>
          <w:rtl/>
        </w:rPr>
        <w:t xml:space="preserve"> פ''ד נג(4) 199 (1999); ( להלן :"</w:t>
      </w:r>
      <w:r w:rsidRPr="00707920">
        <w:rPr>
          <w:rFonts w:ascii="David" w:hAnsi="David"/>
        </w:rPr>
        <w:t xml:space="preserve"> </w:t>
      </w:r>
      <w:r w:rsidRPr="00707920">
        <w:rPr>
          <w:rFonts w:ascii="David" w:hAnsi="David"/>
          <w:b/>
          <w:bCs/>
          <w:rtl/>
        </w:rPr>
        <w:t>עניין אהרונוב"</w:t>
      </w:r>
      <w:r w:rsidRPr="00707920">
        <w:rPr>
          <w:rFonts w:ascii="David" w:hAnsi="David"/>
          <w:rtl/>
        </w:rPr>
        <w:t>)( סעיף 10 סיפא+סעיף 36 )דומה שלשיטת הגרושה השניה עצם מתן התחייבות מתגבר על עיקול  .במקום אחר טענה כי העברת זכויות נבעה מעצם הנישואין וכאילו קדמה לעיקול (</w:t>
      </w:r>
      <w:r w:rsidRPr="00707920">
        <w:rPr>
          <w:rFonts w:ascii="David" w:hAnsi="David"/>
        </w:rPr>
        <w:t xml:space="preserve"> </w:t>
      </w:r>
      <w:r w:rsidRPr="00707920">
        <w:rPr>
          <w:rFonts w:ascii="David" w:hAnsi="David"/>
          <w:rtl/>
        </w:rPr>
        <w:t xml:space="preserve">ס' 29 ). לא הובהר מדוע  לפי  טענה שהנישואין מהווים העברה המתגברת על עיקול </w:t>
      </w:r>
      <w:r w:rsidRPr="00707920">
        <w:rPr>
          <w:rFonts w:ascii="David" w:hAnsi="David"/>
        </w:rPr>
        <w:t xml:space="preserve"> </w:t>
      </w:r>
      <w:r w:rsidRPr="00707920">
        <w:rPr>
          <w:rFonts w:ascii="David" w:hAnsi="David"/>
          <w:rtl/>
        </w:rPr>
        <w:t>ת</w:t>
      </w:r>
      <w:r w:rsidRPr="00707920">
        <w:rPr>
          <w:rFonts w:ascii="David" w:hAnsi="David"/>
        </w:rPr>
        <w:t xml:space="preserve"> </w:t>
      </w:r>
      <w:r w:rsidRPr="00707920">
        <w:rPr>
          <w:rFonts w:ascii="David" w:hAnsi="David"/>
          <w:rtl/>
        </w:rPr>
        <w:t xml:space="preserve">לא הייתה העברה  לגרושה הראשונה מנישואיה המתגברת על העברה לה  .אגב  הגרושה השניה </w:t>
      </w:r>
      <w:r w:rsidRPr="00707920">
        <w:rPr>
          <w:rFonts w:ascii="David" w:hAnsi="David"/>
        </w:rPr>
        <w:t xml:space="preserve"> </w:t>
      </w:r>
      <w:r w:rsidRPr="00707920">
        <w:rPr>
          <w:rFonts w:ascii="David" w:hAnsi="David"/>
          <w:rtl/>
        </w:rPr>
        <w:t xml:space="preserve"> טענה</w:t>
      </w:r>
      <w:r w:rsidRPr="00707920">
        <w:rPr>
          <w:rFonts w:ascii="David" w:hAnsi="David"/>
        </w:rPr>
        <w:t xml:space="preserve"> </w:t>
      </w:r>
      <w:r w:rsidRPr="00707920">
        <w:rPr>
          <w:rFonts w:ascii="David" w:hAnsi="David"/>
          <w:rtl/>
        </w:rPr>
        <w:t xml:space="preserve">הבתצהירה בין היתר רשמה </w:t>
      </w:r>
      <w:r w:rsidRPr="00707920">
        <w:rPr>
          <w:rFonts w:ascii="David" w:hAnsi="David"/>
        </w:rPr>
        <w:t xml:space="preserve"> </w:t>
      </w:r>
      <w:r w:rsidRPr="00707920">
        <w:rPr>
          <w:rFonts w:ascii="David" w:hAnsi="David"/>
          <w:rtl/>
        </w:rPr>
        <w:t xml:space="preserve"> שהייתה בעלת מחצית הזכויות ולא קבלה התראה בטרם עיקול, ושהסתמכה על ההתנהלות </w:t>
      </w:r>
      <w:r w:rsidRPr="00707920">
        <w:rPr>
          <w:rFonts w:ascii="David" w:hAnsi="David"/>
          <w:rtl/>
        </w:rPr>
        <w:lastRenderedPageBreak/>
        <w:t xml:space="preserve">המשפטית פסק הבורר אישור הפסק ופסק הדין בממחוזי סעיף 5)  אך לא ראיתי שהגרושה השניה כפרה בטענה שלפני הסכם הבוררות הייתה  מודעת לעיקול </w:t>
      </w:r>
    </w:p>
    <w:p w14:paraId="5A20A44C" w14:textId="77777777" w:rsidR="00707920" w:rsidRPr="00707920" w:rsidRDefault="00707920" w:rsidP="00707920">
      <w:pPr>
        <w:numPr>
          <w:ilvl w:val="1"/>
          <w:numId w:val="2"/>
        </w:numPr>
        <w:suppressLineNumbers/>
        <w:contextualSpacing/>
        <w:jc w:val="both"/>
        <w:rPr>
          <w:rFonts w:ascii="David" w:hAnsi="David"/>
          <w:rtl/>
        </w:rPr>
      </w:pPr>
      <w:r w:rsidRPr="00707920">
        <w:rPr>
          <w:rFonts w:ascii="David" w:hAnsi="David"/>
          <w:rtl/>
        </w:rPr>
        <w:t xml:space="preserve">גם לטענת הגרושה השניה  פסקי הדין שלאחר העיקול </w:t>
      </w:r>
      <w:r w:rsidRPr="00707920">
        <w:rPr>
          <w:rFonts w:ascii="David" w:hAnsi="David"/>
        </w:rPr>
        <w:t xml:space="preserve"> </w:t>
      </w:r>
      <w:r w:rsidRPr="00707920">
        <w:rPr>
          <w:rFonts w:ascii="David" w:hAnsi="David"/>
          <w:rtl/>
        </w:rPr>
        <w:t xml:space="preserve">יצרו  "מעשה בית דין" כלפי הגרושה הראשונה ( ס' 12) </w:t>
      </w:r>
    </w:p>
    <w:p w14:paraId="314BE621" w14:textId="6549061C" w:rsidR="00707920" w:rsidRPr="00707920" w:rsidRDefault="00707920" w:rsidP="00707920">
      <w:pPr>
        <w:numPr>
          <w:ilvl w:val="1"/>
          <w:numId w:val="2"/>
        </w:numPr>
        <w:suppressLineNumbers/>
        <w:contextualSpacing/>
        <w:jc w:val="both"/>
        <w:rPr>
          <w:rFonts w:ascii="David" w:hAnsi="David"/>
        </w:rPr>
      </w:pPr>
      <w:r w:rsidRPr="00707920">
        <w:rPr>
          <w:rFonts w:ascii="David" w:hAnsi="David"/>
          <w:rtl/>
        </w:rPr>
        <w:t xml:space="preserve">הגרושה השניה </w:t>
      </w:r>
      <w:r w:rsidR="00D36CF6">
        <w:rPr>
          <w:rFonts w:ascii="David" w:hAnsi="David" w:hint="cs"/>
          <w:rtl/>
        </w:rPr>
        <w:t>,</w:t>
      </w:r>
      <w:r w:rsidRPr="00707920">
        <w:rPr>
          <w:rFonts w:ascii="David" w:hAnsi="David"/>
          <w:rtl/>
        </w:rPr>
        <w:t xml:space="preserve"> אף </w:t>
      </w:r>
      <w:r w:rsidRPr="00707920">
        <w:rPr>
          <w:rFonts w:ascii="David" w:hAnsi="David"/>
        </w:rPr>
        <w:t xml:space="preserve"> </w:t>
      </w:r>
      <w:r w:rsidRPr="00707920">
        <w:rPr>
          <w:rFonts w:ascii="David" w:hAnsi="David"/>
          <w:rtl/>
        </w:rPr>
        <w:t xml:space="preserve">הרחיקה לכת, כאשר  טענה ל"השתק שיפוטי" ( ס'  13) אך לא ראיתי שהניחה </w:t>
      </w:r>
      <w:r w:rsidRPr="00707920">
        <w:rPr>
          <w:rFonts w:ascii="David" w:hAnsi="David"/>
        </w:rPr>
        <w:t xml:space="preserve"> </w:t>
      </w:r>
      <w:r w:rsidRPr="00707920">
        <w:rPr>
          <w:rFonts w:ascii="David" w:hAnsi="David"/>
          <w:rtl/>
        </w:rPr>
        <w:t xml:space="preserve">לטיעון תשתית  מפורטת ובהירה  מדוע מתקיימים תנאים להשתק זה </w:t>
      </w:r>
    </w:p>
    <w:p w14:paraId="47C856C1" w14:textId="77777777" w:rsidR="00707920" w:rsidRPr="00707920" w:rsidRDefault="00707920" w:rsidP="00707920">
      <w:pPr>
        <w:numPr>
          <w:ilvl w:val="1"/>
          <w:numId w:val="2"/>
        </w:numPr>
        <w:suppressLineNumbers/>
        <w:contextualSpacing/>
        <w:jc w:val="both"/>
        <w:rPr>
          <w:rFonts w:ascii="David" w:hAnsi="David"/>
        </w:rPr>
      </w:pPr>
      <w:r w:rsidRPr="00707920">
        <w:rPr>
          <w:rFonts w:ascii="David" w:hAnsi="David"/>
          <w:rtl/>
        </w:rPr>
        <w:t xml:space="preserve"> הגרושה השניה, כמו היחיד,  טענה שהגרושה הראשונה התנהלה </w:t>
      </w:r>
      <w:r w:rsidRPr="00707920">
        <w:rPr>
          <w:rFonts w:ascii="David" w:hAnsi="David"/>
          <w:b/>
          <w:bCs/>
          <w:rtl/>
        </w:rPr>
        <w:t>ב"חוסר תום לב</w:t>
      </w:r>
      <w:r w:rsidRPr="00707920">
        <w:rPr>
          <w:rFonts w:ascii="David" w:hAnsi="David"/>
          <w:rtl/>
        </w:rPr>
        <w:t xml:space="preserve">" </w:t>
      </w:r>
    </w:p>
    <w:p w14:paraId="6BB510FD" w14:textId="77777777" w:rsidR="00707920" w:rsidRPr="00707920" w:rsidRDefault="00707920" w:rsidP="00707920">
      <w:pPr>
        <w:numPr>
          <w:ilvl w:val="1"/>
          <w:numId w:val="2"/>
        </w:numPr>
        <w:suppressLineNumbers/>
        <w:contextualSpacing/>
        <w:jc w:val="both"/>
        <w:rPr>
          <w:rFonts w:ascii="David" w:hAnsi="David"/>
          <w:u w:val="single"/>
        </w:rPr>
      </w:pPr>
      <w:r w:rsidRPr="00707920">
        <w:rPr>
          <w:rFonts w:ascii="David" w:hAnsi="David"/>
          <w:rtl/>
        </w:rPr>
        <w:t xml:space="preserve">בעוד העברת הזכויות אליה וקבלת הזכויות מצידה היו </w:t>
      </w:r>
      <w:r w:rsidRPr="00707920">
        <w:rPr>
          <w:rFonts w:ascii="David" w:hAnsi="David"/>
          <w:b/>
          <w:bCs/>
          <w:rtl/>
        </w:rPr>
        <w:t xml:space="preserve">"בתום לב מובהק" </w:t>
      </w:r>
      <w:r w:rsidRPr="00707920">
        <w:rPr>
          <w:rFonts w:ascii="David" w:hAnsi="David"/>
          <w:rtl/>
        </w:rPr>
        <w:t xml:space="preserve">( סעיף 6)  כל מטרה להבריח נכסים  כאשר גם הנאמן מוכן להניח שפעלה בתום לב ( סעיף 9)  גם בתצהירה ציינה שפעלה בתום לב (ס'  6) ולא כדי להבריח נכסים ( ס' 7) שאלמלא כן הייתה פועלת אחרת . </w:t>
      </w:r>
      <w:r w:rsidRPr="00707920">
        <w:rPr>
          <w:rFonts w:ascii="David" w:hAnsi="David"/>
          <w:u w:val="single"/>
          <w:rtl/>
        </w:rPr>
        <w:t>אציין מעתה שלא ראיתי שטענה שכלשעצמה לא ידעה על קיום העיקול בטרם הסכם הבוררות  .</w:t>
      </w:r>
    </w:p>
    <w:p w14:paraId="1C59A2D0" w14:textId="77777777" w:rsidR="00707920" w:rsidRPr="00707920" w:rsidRDefault="00707920" w:rsidP="00707920">
      <w:pPr>
        <w:numPr>
          <w:ilvl w:val="1"/>
          <w:numId w:val="2"/>
        </w:numPr>
        <w:suppressLineNumbers/>
        <w:contextualSpacing/>
        <w:jc w:val="both"/>
        <w:rPr>
          <w:rFonts w:ascii="David" w:hAnsi="David"/>
        </w:rPr>
      </w:pPr>
      <w:r w:rsidRPr="00707920">
        <w:rPr>
          <w:rFonts w:ascii="David" w:hAnsi="David"/>
          <w:rtl/>
        </w:rPr>
        <w:t xml:space="preserve">הגרושה השנייה,  טענה במעורפל שהיא שילמה </w:t>
      </w:r>
      <w:r w:rsidRPr="00707920">
        <w:rPr>
          <w:rFonts w:ascii="David" w:hAnsi="David"/>
          <w:b/>
          <w:bCs/>
          <w:rtl/>
        </w:rPr>
        <w:t xml:space="preserve">תמורה מלאה בגין  </w:t>
      </w:r>
      <w:r w:rsidRPr="00707920">
        <w:rPr>
          <w:rFonts w:ascii="David" w:hAnsi="David"/>
          <w:rtl/>
        </w:rPr>
        <w:t xml:space="preserve">העברת הזכויות  - לפי טענתה רכשה את חלקו של החייב בנכס בכסף מלא  ( ככמובלט בס'  20)  .היחידה טענה בתצהירה </w:t>
      </w:r>
      <w:r w:rsidRPr="00707920">
        <w:rPr>
          <w:rFonts w:ascii="David" w:hAnsi="David"/>
        </w:rPr>
        <w:t xml:space="preserve">   </w:t>
      </w:r>
      <w:r w:rsidRPr="00707920">
        <w:rPr>
          <w:rFonts w:ascii="David" w:hAnsi="David"/>
          <w:rtl/>
        </w:rPr>
        <w:t xml:space="preserve">אפילו  שרכשה את חלקו של היחיד ו"אף יותר מזה" (סעיף 17) בתמורה שכללה </w:t>
      </w:r>
      <w:r w:rsidRPr="00707920">
        <w:rPr>
          <w:rFonts w:ascii="David" w:hAnsi="David"/>
        </w:rPr>
        <w:t xml:space="preserve"> </w:t>
      </w:r>
      <w:r w:rsidRPr="00707920">
        <w:rPr>
          <w:rFonts w:ascii="David" w:hAnsi="David"/>
          <w:rtl/>
        </w:rPr>
        <w:t xml:space="preserve">את חוב מזונות העבר וחוב עתידי  את החזר הלוואות שנטלה עבור הקטין (ס'14  ) תשלום חובות היחיד, והחזר משכנתה ( ס' 16)  הגרושה השניה  לא צירפה תחשיב ולא פירטה סכומים ברורים </w:t>
      </w:r>
    </w:p>
    <w:p w14:paraId="35C7C46E" w14:textId="77777777" w:rsidR="00707920" w:rsidRPr="00707920" w:rsidRDefault="00707920" w:rsidP="00707920">
      <w:pPr>
        <w:numPr>
          <w:ilvl w:val="1"/>
          <w:numId w:val="2"/>
        </w:numPr>
        <w:suppressLineNumbers/>
        <w:contextualSpacing/>
        <w:jc w:val="both"/>
        <w:rPr>
          <w:rFonts w:ascii="David" w:hAnsi="David"/>
        </w:rPr>
      </w:pPr>
      <w:r w:rsidRPr="00707920">
        <w:rPr>
          <w:rFonts w:ascii="David" w:hAnsi="David"/>
          <w:rtl/>
        </w:rPr>
        <w:t xml:space="preserve">הגרושה השניה  טענה </w:t>
      </w:r>
      <w:r w:rsidRPr="00707920">
        <w:rPr>
          <w:rFonts w:ascii="David" w:hAnsi="David"/>
        </w:rPr>
        <w:t xml:space="preserve"> </w:t>
      </w:r>
      <w:r w:rsidRPr="00707920">
        <w:rPr>
          <w:rFonts w:ascii="David" w:hAnsi="David"/>
          <w:rtl/>
        </w:rPr>
        <w:t xml:space="preserve">משום שהעברה אושרה מכוח הבחלטות שיפוטיות המצביעות על זכותה  לא ניתן לטעון שהיא הבריחה נכסים ( סעיף 21) </w:t>
      </w:r>
    </w:p>
    <w:p w14:paraId="4BC772A6" w14:textId="77777777" w:rsidR="00707920" w:rsidRPr="00707920" w:rsidRDefault="00707920" w:rsidP="00707920">
      <w:pPr>
        <w:numPr>
          <w:ilvl w:val="1"/>
          <w:numId w:val="2"/>
        </w:numPr>
        <w:suppressLineNumbers/>
        <w:contextualSpacing/>
        <w:jc w:val="both"/>
        <w:rPr>
          <w:rFonts w:ascii="David" w:hAnsi="David"/>
        </w:rPr>
      </w:pPr>
      <w:r w:rsidRPr="00707920">
        <w:rPr>
          <w:rFonts w:ascii="David" w:hAnsi="David"/>
          <w:rtl/>
        </w:rPr>
        <w:t xml:space="preserve">הגרושה השניה טענה שהחלטות ופסקי דין  אף נתנו על בסיס ידיעה ברורה כי קיים עיקול  על הנכס( סעיף 21)  </w:t>
      </w:r>
      <w:r w:rsidRPr="00707920">
        <w:rPr>
          <w:rFonts w:ascii="David" w:hAnsi="David"/>
          <w:u w:val="single"/>
          <w:rtl/>
        </w:rPr>
        <w:t xml:space="preserve">ברם וכאמור   לא הופניתי </w:t>
      </w:r>
      <w:r w:rsidRPr="00707920">
        <w:rPr>
          <w:rFonts w:ascii="David" w:hAnsi="David"/>
          <w:rtl/>
        </w:rPr>
        <w:t>לדיון מפורש  במסגרת פסקי הדין במעמד הגרושה מכוח העיקול ולאחר שמיעת טענותיה.</w:t>
      </w:r>
    </w:p>
    <w:p w14:paraId="3D86171B" w14:textId="77777777" w:rsidR="00707920" w:rsidRPr="00707920" w:rsidRDefault="00707920" w:rsidP="00707920">
      <w:pPr>
        <w:numPr>
          <w:ilvl w:val="1"/>
          <w:numId w:val="2"/>
        </w:numPr>
        <w:suppressLineNumbers/>
        <w:contextualSpacing/>
        <w:jc w:val="both"/>
        <w:rPr>
          <w:rFonts w:ascii="David" w:hAnsi="David"/>
        </w:rPr>
      </w:pPr>
      <w:r w:rsidRPr="00707920">
        <w:rPr>
          <w:rFonts w:ascii="David" w:hAnsi="David"/>
          <w:rtl/>
        </w:rPr>
        <w:t xml:space="preserve">הגרושה השניה טענה כי הגרושה הראשונה היא אשר לא חשפה בפני הנאמן או בפני בית המשפט את כל העובדות וההחלטות שהיו בהליכים לאורך השנים  וציינה  </w:t>
      </w:r>
      <w:r w:rsidRPr="00707920">
        <w:rPr>
          <w:rFonts w:ascii="David" w:hAnsi="David"/>
          <w:b/>
          <w:bCs/>
          <w:u w:val="single"/>
          <w:rtl/>
        </w:rPr>
        <w:t>שלאחר שמונה כונס נכסים בהוצל"פ  בוטל המינוי</w:t>
      </w:r>
      <w:r w:rsidRPr="00707920">
        <w:rPr>
          <w:rFonts w:ascii="David" w:hAnsi="David"/>
          <w:rtl/>
        </w:rPr>
        <w:t xml:space="preserve"> על ידי ראש ההוצל"פ </w:t>
      </w:r>
      <w:r w:rsidRPr="00707920">
        <w:rPr>
          <w:rFonts w:ascii="David" w:hAnsi="David"/>
        </w:rPr>
        <w:t xml:space="preserve"> </w:t>
      </w:r>
      <w:r w:rsidRPr="00707920">
        <w:rPr>
          <w:rFonts w:ascii="David" w:hAnsi="David"/>
          <w:rtl/>
        </w:rPr>
        <w:t>( סעיף 24) . לשיטתה כתולדה מכך בקשת הנאמן יש אי דיוקים,(עמוד 2 בפתיח)</w:t>
      </w:r>
    </w:p>
    <w:p w14:paraId="5C31479D" w14:textId="77777777" w:rsidR="00707920" w:rsidRPr="00707920" w:rsidRDefault="00707920" w:rsidP="00707920">
      <w:pPr>
        <w:numPr>
          <w:ilvl w:val="1"/>
          <w:numId w:val="2"/>
        </w:numPr>
        <w:suppressLineNumbers/>
        <w:contextualSpacing/>
        <w:jc w:val="both"/>
        <w:rPr>
          <w:rFonts w:ascii="David" w:hAnsi="David"/>
        </w:rPr>
      </w:pPr>
      <w:r w:rsidRPr="00707920">
        <w:rPr>
          <w:rFonts w:ascii="David" w:hAnsi="David"/>
          <w:rtl/>
        </w:rPr>
        <w:t xml:space="preserve">הגרושה השניה טענה גם  כי פסקי הדין  שנתנו לאחר העיקול  חלוטים ובכל אופן בית משפט זה אינו בערכאת ערעור ( סעיף 26) </w:t>
      </w:r>
    </w:p>
    <w:p w14:paraId="699545F2" w14:textId="77777777" w:rsidR="00707920" w:rsidRPr="00707920" w:rsidRDefault="00707920" w:rsidP="00707920">
      <w:pPr>
        <w:numPr>
          <w:ilvl w:val="1"/>
          <w:numId w:val="2"/>
        </w:numPr>
        <w:suppressLineNumbers/>
        <w:contextualSpacing/>
        <w:jc w:val="both"/>
        <w:rPr>
          <w:rFonts w:ascii="David" w:hAnsi="David"/>
        </w:rPr>
      </w:pPr>
      <w:r w:rsidRPr="00707920">
        <w:rPr>
          <w:rFonts w:ascii="David" w:hAnsi="David"/>
          <w:rtl/>
        </w:rPr>
        <w:t xml:space="preserve"> </w:t>
      </w:r>
      <w:r w:rsidRPr="00707920">
        <w:rPr>
          <w:rFonts w:ascii="David" w:hAnsi="David" w:hint="cs"/>
          <w:rtl/>
        </w:rPr>
        <w:t>והגרושה הראשונה לא הגישה בקשה לביטול פסק הדין שהורה על רישום זכויות על שם  הגרושה השניה ( סעיף 27) קיים חשש מפסיקה סותרת ( סעיף 32)</w:t>
      </w:r>
    </w:p>
    <w:p w14:paraId="1EA9550B" w14:textId="77777777" w:rsidR="00707920" w:rsidRPr="00707920" w:rsidRDefault="00707920" w:rsidP="00707920">
      <w:pPr>
        <w:numPr>
          <w:ilvl w:val="1"/>
          <w:numId w:val="2"/>
        </w:numPr>
        <w:suppressLineNumbers/>
        <w:contextualSpacing/>
        <w:jc w:val="both"/>
        <w:rPr>
          <w:rFonts w:ascii="David" w:hAnsi="David"/>
        </w:rPr>
      </w:pPr>
      <w:r w:rsidRPr="00707920">
        <w:rPr>
          <w:rFonts w:ascii="David" w:hAnsi="David"/>
          <w:rtl/>
        </w:rPr>
        <w:t xml:space="preserve">הגרושה השניה טענה למעשה </w:t>
      </w:r>
      <w:r w:rsidRPr="00707920">
        <w:rPr>
          <w:rFonts w:ascii="David" w:hAnsi="David"/>
          <w:b/>
          <w:bCs/>
          <w:rtl/>
        </w:rPr>
        <w:t xml:space="preserve">להסתמכות </w:t>
      </w:r>
      <w:r w:rsidRPr="00707920">
        <w:rPr>
          <w:rFonts w:ascii="David" w:hAnsi="David"/>
          <w:rtl/>
        </w:rPr>
        <w:t xml:space="preserve"> כי הצהירה  גם כי מאז פסק הבורר, הנכס היא השביחה את הנכס "פי כמה וכמה מערכו העולה על שווי מחצית הזכויות" (סעיף 25 לתצהירה)  </w:t>
      </w:r>
    </w:p>
    <w:p w14:paraId="613051B3" w14:textId="77777777" w:rsidR="00707920" w:rsidRPr="00707920" w:rsidRDefault="00707920" w:rsidP="00707920">
      <w:pPr>
        <w:numPr>
          <w:ilvl w:val="1"/>
          <w:numId w:val="2"/>
        </w:numPr>
        <w:suppressLineNumbers/>
        <w:contextualSpacing/>
        <w:jc w:val="both"/>
        <w:rPr>
          <w:rFonts w:ascii="David" w:hAnsi="David"/>
          <w:rtl/>
        </w:rPr>
      </w:pPr>
      <w:r w:rsidRPr="00707920">
        <w:rPr>
          <w:rFonts w:ascii="David" w:hAnsi="David"/>
          <w:rtl/>
        </w:rPr>
        <w:t xml:space="preserve">כאמור לעיל בתצהירה טענה  הגרושה השניה גם </w:t>
      </w:r>
      <w:r w:rsidRPr="00707920">
        <w:rPr>
          <w:rFonts w:ascii="David" w:hAnsi="David"/>
        </w:rPr>
        <w:t xml:space="preserve"> </w:t>
      </w:r>
      <w:r w:rsidRPr="00707920">
        <w:rPr>
          <w:rFonts w:ascii="David" w:hAnsi="David"/>
          <w:b/>
          <w:bCs/>
          <w:rtl/>
        </w:rPr>
        <w:t xml:space="preserve">ש"ראוי שלא לתקן עוול בעוול " </w:t>
      </w:r>
      <w:r w:rsidRPr="00707920">
        <w:rPr>
          <w:rFonts w:ascii="David" w:hAnsi="David"/>
          <w:b/>
          <w:bCs/>
        </w:rPr>
        <w:t xml:space="preserve"> </w:t>
      </w:r>
      <w:r w:rsidRPr="00707920">
        <w:rPr>
          <w:rFonts w:ascii="David" w:hAnsi="David"/>
          <w:rtl/>
        </w:rPr>
        <w:t xml:space="preserve"> היא הסבירה זאת בכך </w:t>
      </w:r>
      <w:r w:rsidRPr="00707920">
        <w:rPr>
          <w:rFonts w:ascii="David" w:hAnsi="David"/>
        </w:rPr>
        <w:t xml:space="preserve"> </w:t>
      </w:r>
      <w:r w:rsidRPr="00707920">
        <w:rPr>
          <w:rFonts w:ascii="David" w:hAnsi="David"/>
          <w:rtl/>
        </w:rPr>
        <w:t>שהשביחה את הנכס ושהבקשה לפירוק שיתוף גורמת לה  נזקים עצומים לה מחמת הוצאות מיותרות על שכר טרחה ומחמת הטרדה לשגרת  חייה . בנוסף ציינה שמדובר בקשה המחייבת השקעת זמן שיפוטי יקר ( סעיף 26)</w:t>
      </w:r>
    </w:p>
    <w:p w14:paraId="15BB1D8A" w14:textId="77777777" w:rsidR="00707920" w:rsidRPr="00707920" w:rsidRDefault="00707920" w:rsidP="00707920">
      <w:pPr>
        <w:rPr>
          <w:rFonts w:ascii="David" w:hAnsi="David"/>
          <w:rtl/>
        </w:rPr>
      </w:pPr>
    </w:p>
    <w:p w14:paraId="466904FC" w14:textId="77777777" w:rsidR="00707920" w:rsidRPr="00707920" w:rsidRDefault="00707920" w:rsidP="00707920">
      <w:pPr>
        <w:pStyle w:val="3"/>
        <w:rPr>
          <w:rFonts w:ascii="David" w:hAnsi="David" w:cs="David"/>
          <w:rtl/>
        </w:rPr>
      </w:pPr>
      <w:bookmarkStart w:id="16" w:name="_Toc168898763"/>
      <w:r w:rsidRPr="00707920">
        <w:rPr>
          <w:rFonts w:ascii="David" w:hAnsi="David" w:cs="David"/>
          <w:rtl/>
        </w:rPr>
        <w:t>ג(3) תשובת הנאמן  להתנגדות היחיד והגרושה</w:t>
      </w:r>
      <w:r w:rsidRPr="00707920">
        <w:rPr>
          <w:rFonts w:ascii="David" w:hAnsi="David" w:cs="David"/>
        </w:rPr>
        <w:t xml:space="preserve"> </w:t>
      </w:r>
      <w:r w:rsidRPr="00707920">
        <w:rPr>
          <w:rFonts w:ascii="David" w:hAnsi="David" w:cs="David"/>
          <w:rtl/>
        </w:rPr>
        <w:t>השניה כאשר התמקד בטענתה שלא קם השתק כלפי הגרושה הראשונה  .</w:t>
      </w:r>
      <w:bookmarkEnd w:id="16"/>
    </w:p>
    <w:p w14:paraId="45F106D2" w14:textId="77777777" w:rsidR="00707920" w:rsidRPr="00707920" w:rsidRDefault="00707920" w:rsidP="00707920">
      <w:pPr>
        <w:rPr>
          <w:rFonts w:ascii="David" w:hAnsi="David"/>
          <w:rtl/>
        </w:rPr>
      </w:pPr>
    </w:p>
    <w:p w14:paraId="4A9F86DF" w14:textId="77777777" w:rsidR="00707920" w:rsidRPr="00707920" w:rsidRDefault="00707920" w:rsidP="00707920">
      <w:pPr>
        <w:numPr>
          <w:ilvl w:val="0"/>
          <w:numId w:val="2"/>
        </w:numPr>
        <w:ind w:hanging="531"/>
        <w:contextualSpacing/>
        <w:jc w:val="both"/>
        <w:rPr>
          <w:rFonts w:ascii="David" w:hAnsi="David"/>
          <w:rtl/>
        </w:rPr>
      </w:pPr>
      <w:r w:rsidRPr="00707920">
        <w:rPr>
          <w:rFonts w:ascii="David" w:hAnsi="David"/>
          <w:rtl/>
        </w:rPr>
        <w:t>עיקרי תשובת הנאמן שובצו ,לצורכי נוחיות והבהרה בעמדת הנאמן לעיל אך למען הבהירות  ארחיב ואציין כי הנאמן השיב לתגובות היחיד והגרושה  חזר בנחרצות על עמדתו לפיה קיימת לו הזכות לפירוק שיתוף .הנאמן ציין שהיחיד פועל ככל יכולתו להתחמק מתשלום חוב מזונות ישן ( גם לא שיתף פעולה עימו ) .לטעמו של הנאמן  עצם התנגדות היחיד  מסתדרת היטב עם העובדה שהוא חי עם הגרושה השניה באותו הנכס גם כיום (24) וציין שששוי הנכס עולה בהרבה על גובה בחובות ( סעיף 25)  ( משום מה בגדר בקשה 17 ולא בגדר בקשה 14 המרכזת את הנושא)</w:t>
      </w:r>
    </w:p>
    <w:p w14:paraId="6505F805" w14:textId="77777777" w:rsidR="00707920" w:rsidRPr="00707920" w:rsidRDefault="00707920" w:rsidP="00707920">
      <w:pPr>
        <w:numPr>
          <w:ilvl w:val="0"/>
          <w:numId w:val="2"/>
        </w:numPr>
        <w:ind w:hanging="531"/>
        <w:contextualSpacing/>
        <w:jc w:val="both"/>
        <w:rPr>
          <w:rFonts w:ascii="David" w:hAnsi="David"/>
        </w:rPr>
      </w:pPr>
      <w:r w:rsidRPr="00707920">
        <w:rPr>
          <w:rFonts w:ascii="David" w:hAnsi="David"/>
          <w:rtl/>
        </w:rPr>
        <w:t xml:space="preserve">לגוף הדברים  - הנאמן  סבר </w:t>
      </w:r>
      <w:r w:rsidRPr="00707920">
        <w:rPr>
          <w:rFonts w:ascii="David" w:hAnsi="David"/>
          <w:b/>
          <w:bCs/>
          <w:rtl/>
        </w:rPr>
        <w:t xml:space="preserve">שהטענה </w:t>
      </w:r>
      <w:r w:rsidRPr="00707920">
        <w:rPr>
          <w:rFonts w:ascii="David" w:hAnsi="David"/>
          <w:b/>
          <w:bCs/>
        </w:rPr>
        <w:t xml:space="preserve"> </w:t>
      </w:r>
      <w:r w:rsidRPr="00707920">
        <w:rPr>
          <w:rFonts w:ascii="David" w:hAnsi="David"/>
          <w:b/>
          <w:bCs/>
          <w:rtl/>
        </w:rPr>
        <w:t>הרלבנטית היחידה לסוגייה</w:t>
      </w:r>
      <w:r w:rsidRPr="00707920">
        <w:rPr>
          <w:rFonts w:ascii="David" w:hAnsi="David"/>
          <w:rtl/>
        </w:rPr>
        <w:t xml:space="preserve"> שבמחלוקת  היא הטענה שענין נדון והוכרע והקים השתק   ( סעיפים 1-2)   עם זאת הנאמן בחר להתייחס </w:t>
      </w:r>
      <w:r w:rsidRPr="00707920">
        <w:rPr>
          <w:rFonts w:ascii="David" w:hAnsi="David"/>
        </w:rPr>
        <w:t xml:space="preserve"> </w:t>
      </w:r>
      <w:r w:rsidRPr="00707920">
        <w:rPr>
          <w:rFonts w:ascii="David" w:hAnsi="David"/>
          <w:rtl/>
        </w:rPr>
        <w:t xml:space="preserve">גם לטענות אחרות, שאינן רלבנטיות לשיטתו לסוגיה  דנן </w:t>
      </w:r>
    </w:p>
    <w:p w14:paraId="3108BDF2" w14:textId="77777777" w:rsidR="00707920" w:rsidRPr="00707920" w:rsidRDefault="00707920" w:rsidP="00707920">
      <w:pPr>
        <w:numPr>
          <w:ilvl w:val="0"/>
          <w:numId w:val="2"/>
        </w:numPr>
        <w:ind w:hanging="531"/>
        <w:contextualSpacing/>
        <w:jc w:val="both"/>
        <w:rPr>
          <w:rFonts w:ascii="David" w:hAnsi="David"/>
          <w:b/>
          <w:bCs/>
        </w:rPr>
      </w:pPr>
      <w:r w:rsidRPr="00707920">
        <w:rPr>
          <w:rFonts w:ascii="David" w:hAnsi="David"/>
          <w:rtl/>
        </w:rPr>
        <w:t xml:space="preserve"> </w:t>
      </w:r>
      <w:r w:rsidRPr="00707920">
        <w:rPr>
          <w:rFonts w:ascii="David" w:hAnsi="David" w:hint="cs"/>
          <w:rtl/>
        </w:rPr>
        <w:t>אקדים ואציין שהנאמן ש</w:t>
      </w:r>
      <w:r w:rsidRPr="00707920">
        <w:rPr>
          <w:rFonts w:ascii="David" w:hAnsi="David" w:hint="cs"/>
          <w:b/>
          <w:bCs/>
          <w:rtl/>
        </w:rPr>
        <w:t>התמקד בטענה ההמרכזית של העדר השתק לגבי הגרושה הראשונה ,   לא התייחס לשאלה האם והכיצד יוכל לבוא בנעלי היחיד , חרף היותו חליף או מכוח קרבה משפטית  ולכך ארחיב ואתייחס בהמשך.</w:t>
      </w:r>
    </w:p>
    <w:p w14:paraId="376BB67F" w14:textId="77777777" w:rsidR="00707920" w:rsidRPr="00707920" w:rsidRDefault="00707920" w:rsidP="00707920">
      <w:pPr>
        <w:numPr>
          <w:ilvl w:val="0"/>
          <w:numId w:val="2"/>
        </w:numPr>
        <w:ind w:hanging="531"/>
        <w:contextualSpacing/>
        <w:jc w:val="both"/>
        <w:rPr>
          <w:rFonts w:ascii="David" w:hAnsi="David"/>
        </w:rPr>
      </w:pPr>
      <w:r w:rsidRPr="00707920">
        <w:rPr>
          <w:rFonts w:ascii="David" w:hAnsi="David"/>
          <w:b/>
          <w:bCs/>
          <w:rtl/>
        </w:rPr>
        <w:t xml:space="preserve">  </w:t>
      </w:r>
      <w:r w:rsidRPr="00707920">
        <w:rPr>
          <w:rFonts w:ascii="David" w:hAnsi="David" w:hint="cs"/>
          <w:b/>
          <w:bCs/>
          <w:rtl/>
        </w:rPr>
        <w:t xml:space="preserve">בין הנימוקים </w:t>
      </w:r>
      <w:r w:rsidRPr="00707920">
        <w:rPr>
          <w:rFonts w:ascii="David" w:hAnsi="David"/>
          <w:rtl/>
        </w:rPr>
        <w:t xml:space="preserve">להיעדר </w:t>
      </w:r>
      <w:r w:rsidRPr="00707920">
        <w:rPr>
          <w:rFonts w:ascii="David" w:hAnsi="David"/>
        </w:rPr>
        <w:t xml:space="preserve"> </w:t>
      </w:r>
      <w:r w:rsidRPr="00707920">
        <w:rPr>
          <w:rFonts w:ascii="David" w:hAnsi="David"/>
          <w:rtl/>
        </w:rPr>
        <w:t xml:space="preserve">השתק מכוחם של פסקי הדין  לגבי הגרושה הראשונה  (  סעיפים 1-2+ 18-22 לתגובתו מיום 18.1.24)  ציין בתשובה  כי התנאי למעשה בית דין הוא  זהות בין בעלי הדין  בהליכים  כשלא די בכך שהבורר ידע על קיום הטענות  של הגרושה  הראשונה  כי היא לא קבלה שעת כושר להשמיען   </w:t>
      </w:r>
      <w:r w:rsidRPr="00707920">
        <w:rPr>
          <w:rFonts w:ascii="David" w:hAnsi="David"/>
          <w:b/>
          <w:bCs/>
          <w:u w:val="single"/>
          <w:rtl/>
        </w:rPr>
        <w:t xml:space="preserve">הואיל ולא  הייתה צד </w:t>
      </w:r>
      <w:r w:rsidRPr="00707920">
        <w:rPr>
          <w:rFonts w:ascii="David" w:hAnsi="David"/>
          <w:rtl/>
        </w:rPr>
        <w:t xml:space="preserve">הן להליך הבוררות, והן להליך לאישור פסק הבורר כי נערכו ללא נכוחותה  (ס' 22_א( וב)   </w:t>
      </w:r>
    </w:p>
    <w:p w14:paraId="3A44E7D9" w14:textId="77777777" w:rsidR="00707920" w:rsidRPr="00707920" w:rsidRDefault="00707920" w:rsidP="00707920">
      <w:pPr>
        <w:numPr>
          <w:ilvl w:val="0"/>
          <w:numId w:val="2"/>
        </w:numPr>
        <w:ind w:hanging="531"/>
        <w:contextualSpacing/>
        <w:jc w:val="both"/>
        <w:rPr>
          <w:rFonts w:ascii="David" w:hAnsi="David"/>
        </w:rPr>
      </w:pPr>
      <w:r w:rsidRPr="00707920">
        <w:rPr>
          <w:rFonts w:ascii="David" w:hAnsi="David"/>
          <w:rtl/>
        </w:rPr>
        <w:lastRenderedPageBreak/>
        <w:t xml:space="preserve">הנאמן   כאמור אישר שהגרושה הייתה  צד להמרצת הפתיחה לביטול פסק הבורר אך ציין שהליך הזה נמחק ושצוין בו במפורש שאין מדובר בסוף להליכים בין הצדדים (ס' 22(ג) ) מער לכך ציין שבהליך דנן אינו מבקש את ביטול פסק הבורר  </w:t>
      </w:r>
    </w:p>
    <w:p w14:paraId="007F5524" w14:textId="77777777" w:rsidR="00707920" w:rsidRPr="00707920" w:rsidRDefault="00707920" w:rsidP="00707920">
      <w:pPr>
        <w:numPr>
          <w:ilvl w:val="0"/>
          <w:numId w:val="2"/>
        </w:numPr>
        <w:ind w:hanging="531"/>
        <w:contextualSpacing/>
        <w:jc w:val="both"/>
        <w:rPr>
          <w:rFonts w:ascii="David" w:hAnsi="David"/>
        </w:rPr>
      </w:pPr>
      <w:r w:rsidRPr="00707920">
        <w:rPr>
          <w:rFonts w:ascii="David" w:hAnsi="David"/>
          <w:rtl/>
        </w:rPr>
        <w:t xml:space="preserve">לגוף הדברים , הנאמן  בחר להתייחס </w:t>
      </w:r>
      <w:r w:rsidRPr="00707920">
        <w:rPr>
          <w:rFonts w:ascii="David" w:hAnsi="David"/>
        </w:rPr>
        <w:t xml:space="preserve"> </w:t>
      </w:r>
      <w:r w:rsidRPr="00707920">
        <w:rPr>
          <w:rFonts w:ascii="David" w:hAnsi="David"/>
          <w:rtl/>
        </w:rPr>
        <w:t xml:space="preserve">גם התייחסות לטענות אף שלדעתו  שאינן </w:t>
      </w:r>
      <w:r w:rsidRPr="00707920">
        <w:rPr>
          <w:rFonts w:ascii="David" w:hAnsi="David"/>
        </w:rPr>
        <w:t xml:space="preserve"> </w:t>
      </w:r>
      <w:r w:rsidRPr="00707920">
        <w:rPr>
          <w:rFonts w:ascii="David" w:hAnsi="David"/>
          <w:rtl/>
        </w:rPr>
        <w:t xml:space="preserve">רלבנטיות לסוגיה . </w:t>
      </w:r>
    </w:p>
    <w:p w14:paraId="2FF1E95F" w14:textId="77777777" w:rsidR="00707920" w:rsidRPr="00707920" w:rsidRDefault="00707920" w:rsidP="00707920">
      <w:pPr>
        <w:numPr>
          <w:ilvl w:val="0"/>
          <w:numId w:val="2"/>
        </w:numPr>
        <w:ind w:hanging="531"/>
        <w:contextualSpacing/>
        <w:jc w:val="both"/>
        <w:rPr>
          <w:rFonts w:ascii="David" w:hAnsi="David"/>
        </w:rPr>
      </w:pPr>
      <w:r w:rsidRPr="00707920">
        <w:rPr>
          <w:rFonts w:ascii="David" w:hAnsi="David"/>
          <w:b/>
          <w:bCs/>
          <w:rtl/>
        </w:rPr>
        <w:t>לגבי הנסיבות הכלכליות -</w:t>
      </w:r>
      <w:r w:rsidRPr="00707920">
        <w:rPr>
          <w:rFonts w:ascii="David" w:hAnsi="David"/>
          <w:rtl/>
        </w:rPr>
        <w:t xml:space="preserve">  הנאמן טען כי פירוק שיתוף ומכר הנכס  יטיב מאד עם מצבו הכלכלי של  היחיד  כי שוויו עולה במליונים על גובה החוב ( סעיף 6(א) ) ולטעמו בעצם העלאת הטענות יש לחזק כי הוא מתייחס לנכס כשלו (סעיף 6(ב)) - גם אם הוא מייחס לנכס כשלו עיין יש פסק ין כמו שלמוכר לא ניתן היה לבוא היום </w:t>
      </w:r>
    </w:p>
    <w:p w14:paraId="6E92AA31" w14:textId="77777777" w:rsidR="00707920" w:rsidRPr="00707920" w:rsidRDefault="00707920" w:rsidP="00707920">
      <w:pPr>
        <w:numPr>
          <w:ilvl w:val="0"/>
          <w:numId w:val="2"/>
        </w:numPr>
        <w:ind w:hanging="531"/>
        <w:contextualSpacing/>
        <w:jc w:val="both"/>
        <w:rPr>
          <w:rFonts w:ascii="David" w:hAnsi="David"/>
        </w:rPr>
      </w:pPr>
      <w:r w:rsidRPr="00707920">
        <w:rPr>
          <w:rFonts w:ascii="David" w:hAnsi="David"/>
          <w:b/>
          <w:bCs/>
          <w:rtl/>
        </w:rPr>
        <w:t xml:space="preserve">הנאמן  </w:t>
      </w:r>
      <w:r w:rsidRPr="00707920">
        <w:rPr>
          <w:rFonts w:ascii="David" w:hAnsi="David"/>
          <w:b/>
          <w:bCs/>
        </w:rPr>
        <w:t xml:space="preserve"> </w:t>
      </w:r>
      <w:r w:rsidRPr="00707920">
        <w:rPr>
          <w:rFonts w:ascii="David" w:hAnsi="David"/>
          <w:b/>
          <w:bCs/>
          <w:rtl/>
        </w:rPr>
        <w:t>חזר כאמור,  על עמדתו הכופרת בטענה שגרושה השניה  רכשה בתום לב ובתמורה -.</w:t>
      </w:r>
      <w:r w:rsidRPr="00707920">
        <w:rPr>
          <w:rFonts w:ascii="David" w:hAnsi="David"/>
          <w:rtl/>
        </w:rPr>
        <w:t xml:space="preserve"> הנאמן טען שאין תום לב משתי סיבות עיקריות אלה א.  לא ניתן מענה לאינדיקציות המצביעות על העדרו שאותן ציין בבקשתו ( ס'9)ב.  די בעצם העובדה שהגרושה השניה ידעה אודות העיקול, ולא טרחה לפנות לגרושה הראשונה, לצרפה להליך או להסדיר עיקול כדי לשלול מניה וביה את טענתו  ( סעיף 10  )ב. לא נתנה תמורה שכן לא נכתב פירוט המסביר מהם הסכומים שנתנו בתמורה וכיצד היא עולה על שווי  ולא צורפה אסכמתא המלמדת על תמורה כלשהיא( סעיף 8) </w:t>
      </w:r>
    </w:p>
    <w:p w14:paraId="0B98067D" w14:textId="77777777" w:rsidR="00707920" w:rsidRPr="00707920" w:rsidRDefault="00707920" w:rsidP="00707920">
      <w:pPr>
        <w:numPr>
          <w:ilvl w:val="0"/>
          <w:numId w:val="2"/>
        </w:numPr>
        <w:ind w:hanging="531"/>
        <w:contextualSpacing/>
        <w:jc w:val="both"/>
        <w:rPr>
          <w:rFonts w:ascii="David" w:hAnsi="David"/>
        </w:rPr>
      </w:pPr>
      <w:r w:rsidRPr="00707920">
        <w:rPr>
          <w:rFonts w:ascii="David" w:hAnsi="David"/>
          <w:b/>
          <w:bCs/>
          <w:rtl/>
        </w:rPr>
        <w:t>הנאמן כפר בטענה שיש במקרה זה לגרושה השניה זכות קנין שביושר הגוברת על עיקול –</w:t>
      </w:r>
      <w:r w:rsidRPr="00707920">
        <w:rPr>
          <w:rFonts w:ascii="David" w:hAnsi="David"/>
          <w:rtl/>
        </w:rPr>
        <w:t xml:space="preserve"> כי  טען שאין תחולה   להלכת אהרונוב  כי העיקול קדם לביצוע העסקה ( ולא רק לרישומה) </w:t>
      </w:r>
      <w:r w:rsidRPr="00707920">
        <w:rPr>
          <w:rFonts w:ascii="David" w:hAnsi="David"/>
        </w:rPr>
        <w:t xml:space="preserve"> </w:t>
      </w:r>
      <w:r w:rsidRPr="00707920">
        <w:rPr>
          <w:rFonts w:ascii="David" w:hAnsi="David"/>
          <w:rtl/>
        </w:rPr>
        <w:t xml:space="preserve">  לטענתו קבלת טענתה הגרושה השניה תאיין את </w:t>
      </w:r>
      <w:r w:rsidRPr="00707920">
        <w:rPr>
          <w:rFonts w:ascii="David" w:hAnsi="David"/>
        </w:rPr>
        <w:t xml:space="preserve"> </w:t>
      </w:r>
      <w:r w:rsidRPr="00707920">
        <w:rPr>
          <w:rFonts w:ascii="David" w:hAnsi="David"/>
          <w:rtl/>
        </w:rPr>
        <w:t>העיקול כי גם שנים אחריו ניתן לבצע עסקאות ס'12-16 ) מעבר לכך ציין שזכות שביושר לא נוצרת  כשידעה על העיקול.  ( סעיף 17 לתשובה )</w:t>
      </w:r>
      <w:r w:rsidRPr="00707920">
        <w:rPr>
          <w:rFonts w:ascii="David" w:hAnsi="David"/>
        </w:rPr>
        <w:t xml:space="preserve">  </w:t>
      </w:r>
    </w:p>
    <w:p w14:paraId="623D9BD6" w14:textId="77777777" w:rsidR="00707920" w:rsidRPr="00707920" w:rsidRDefault="00707920" w:rsidP="00707920">
      <w:pPr>
        <w:jc w:val="both"/>
        <w:rPr>
          <w:rFonts w:ascii="David" w:hAnsi="David"/>
          <w:rtl/>
        </w:rPr>
      </w:pPr>
    </w:p>
    <w:p w14:paraId="709043F2" w14:textId="77777777" w:rsidR="00707920" w:rsidRPr="00707920" w:rsidRDefault="00707920" w:rsidP="00707920">
      <w:pPr>
        <w:jc w:val="both"/>
        <w:rPr>
          <w:rFonts w:ascii="David" w:hAnsi="David"/>
          <w:rtl/>
        </w:rPr>
      </w:pPr>
    </w:p>
    <w:p w14:paraId="698B87A2" w14:textId="77777777" w:rsidR="00707920" w:rsidRPr="00707920" w:rsidRDefault="00707920" w:rsidP="00707920">
      <w:pPr>
        <w:pStyle w:val="3"/>
        <w:rPr>
          <w:rFonts w:ascii="David" w:hAnsi="David" w:cs="David"/>
          <w:rtl/>
        </w:rPr>
      </w:pPr>
      <w:bookmarkStart w:id="17" w:name="_Toc168898764"/>
      <w:r w:rsidRPr="00707920">
        <w:rPr>
          <w:rFonts w:ascii="David" w:hAnsi="David" w:cs="David"/>
          <w:rtl/>
        </w:rPr>
        <w:t>ג(4) תמצית טענות הגרושה  הראשונה- שהצטרפה לבקשת הנאמן כי לשיטתה המדובר במקרה קלאסי, של יחיד המתחמק  מתשלום חוב מזונות בעוד הוא לטענתה בעלים של 50 אחוז מנכס- כמפורט להלן לצורך הלך זה תבדק השאלה האם ניתן לראות בו בעלים .</w:t>
      </w:r>
      <w:bookmarkEnd w:id="17"/>
    </w:p>
    <w:p w14:paraId="28DF4146" w14:textId="77777777" w:rsidR="00707920" w:rsidRPr="00707920" w:rsidRDefault="00707920" w:rsidP="00707920">
      <w:pPr>
        <w:pStyle w:val="3"/>
        <w:rPr>
          <w:rFonts w:ascii="David" w:hAnsi="David" w:cs="David"/>
          <w:rtl/>
        </w:rPr>
      </w:pPr>
      <w:r w:rsidRPr="00707920">
        <w:rPr>
          <w:rFonts w:ascii="David" w:hAnsi="David" w:cs="David"/>
          <w:rtl/>
        </w:rPr>
        <w:t xml:space="preserve"> </w:t>
      </w:r>
    </w:p>
    <w:p w14:paraId="17D7D1BB" w14:textId="77777777" w:rsidR="00707920" w:rsidRPr="00707920" w:rsidRDefault="00707920" w:rsidP="00707920">
      <w:pPr>
        <w:numPr>
          <w:ilvl w:val="0"/>
          <w:numId w:val="2"/>
        </w:numPr>
        <w:ind w:hanging="531"/>
        <w:contextualSpacing/>
        <w:jc w:val="both"/>
        <w:rPr>
          <w:rFonts w:ascii="David" w:hAnsi="David"/>
          <w:rtl/>
        </w:rPr>
      </w:pPr>
      <w:r w:rsidRPr="00707920">
        <w:rPr>
          <w:rFonts w:ascii="David" w:hAnsi="David"/>
          <w:rtl/>
        </w:rPr>
        <w:t xml:space="preserve">הגרושה הראשונה,  תמכה בבקשה לפירוק השיתוף ובהוראות שהנאמן ביקש  ליישומה (ס' 35) הגרושה הראשונה טענה שליחיד בעלות בלפחות ממחצית הזכויות בנכס, שדי בהן לסלק  את חוב המזונות כלפיה   ( כאמור בפתיח)  שאינו במחלוקת ( ס' 3) </w:t>
      </w:r>
      <w:r w:rsidRPr="00707920">
        <w:rPr>
          <w:rFonts w:ascii="David" w:hAnsi="David"/>
        </w:rPr>
        <w:t xml:space="preserve"> </w:t>
      </w:r>
    </w:p>
    <w:p w14:paraId="4D95A85B" w14:textId="77777777" w:rsidR="00707920" w:rsidRPr="00707920" w:rsidRDefault="00707920" w:rsidP="00707920">
      <w:pPr>
        <w:numPr>
          <w:ilvl w:val="0"/>
          <w:numId w:val="2"/>
        </w:numPr>
        <w:ind w:hanging="531"/>
        <w:contextualSpacing/>
        <w:jc w:val="both"/>
        <w:rPr>
          <w:rFonts w:ascii="David" w:hAnsi="David"/>
        </w:rPr>
      </w:pPr>
      <w:r w:rsidRPr="00707920">
        <w:rPr>
          <w:rFonts w:ascii="David" w:hAnsi="David"/>
          <w:rtl/>
        </w:rPr>
        <w:t>בתמצית, ייאמר שהגרושה הראשונה חזרה על הטענות שלפיהן, אין התנהלות המשפטית בין היחיד לגרושה השניה כדי לגרוע מזכויותיה ומהעיקול שהיא הטילה ואשר קדם בזמן .</w:t>
      </w:r>
    </w:p>
    <w:p w14:paraId="01689875" w14:textId="77777777" w:rsidR="00707920" w:rsidRPr="00707920" w:rsidRDefault="00707920" w:rsidP="00707920">
      <w:pPr>
        <w:numPr>
          <w:ilvl w:val="0"/>
          <w:numId w:val="2"/>
        </w:numPr>
        <w:ind w:hanging="531"/>
        <w:contextualSpacing/>
        <w:jc w:val="both"/>
        <w:rPr>
          <w:rFonts w:ascii="David" w:hAnsi="David"/>
        </w:rPr>
      </w:pPr>
      <w:r w:rsidRPr="00707920">
        <w:rPr>
          <w:rFonts w:ascii="David" w:hAnsi="David"/>
          <w:rtl/>
        </w:rPr>
        <w:t xml:space="preserve"> בהקשר זה  היא בין היתר ציינה שאף אם היה  חוב מזונות גם כלפי הגרושה השניה כעולה מהסכם הבוררות </w:t>
      </w:r>
      <w:r w:rsidRPr="00707920">
        <w:rPr>
          <w:rFonts w:ascii="David" w:hAnsi="David"/>
        </w:rPr>
        <w:t xml:space="preserve"> </w:t>
      </w:r>
      <w:r w:rsidRPr="00707920">
        <w:rPr>
          <w:rFonts w:ascii="David" w:hAnsi="David"/>
          <w:rtl/>
        </w:rPr>
        <w:t xml:space="preserve">(ס'4) הסכם הבוררות לא  מחייב אותה מהסיבות העיקריות הבאות : א. היא  לא הייתה צד לו  (ס' 5)  </w:t>
      </w:r>
      <w:r w:rsidRPr="00707920">
        <w:rPr>
          <w:rFonts w:ascii="David" w:hAnsi="David"/>
        </w:rPr>
        <w:t xml:space="preserve"> </w:t>
      </w:r>
      <w:r w:rsidRPr="00707920">
        <w:rPr>
          <w:rFonts w:ascii="David" w:hAnsi="David"/>
          <w:rtl/>
        </w:rPr>
        <w:t>אגב הגרושה ציינה כי אין צורך להדרש לתוקף הסכם לצורך פירוק השיתוף אך טענה שזהו הסכם  "מפוקפק  מלכתחילה" וציינה גם  את ספקות  הנאמן לגבי אמיתות הסכם  הבוררות שלטענתה</w:t>
      </w:r>
      <w:r w:rsidRPr="00707920">
        <w:rPr>
          <w:rFonts w:ascii="David" w:hAnsi="David"/>
        </w:rPr>
        <w:t xml:space="preserve"> </w:t>
      </w:r>
      <w:r w:rsidRPr="00707920">
        <w:rPr>
          <w:rFonts w:ascii="David" w:hAnsi="David"/>
          <w:rtl/>
        </w:rPr>
        <w:t xml:space="preserve">הוא  מצג שווא  </w:t>
      </w:r>
      <w:r w:rsidRPr="00707920">
        <w:rPr>
          <w:rFonts w:ascii="David" w:hAnsi="David"/>
        </w:rPr>
        <w:t xml:space="preserve"> </w:t>
      </w:r>
      <w:r w:rsidRPr="00707920">
        <w:rPr>
          <w:rFonts w:ascii="David" w:hAnsi="David"/>
          <w:rtl/>
        </w:rPr>
        <w:t xml:space="preserve"> ( ס'6) ב. הטילה עיקול שקדם </w:t>
      </w:r>
      <w:r w:rsidRPr="00707920">
        <w:rPr>
          <w:rFonts w:ascii="David" w:hAnsi="David"/>
        </w:rPr>
        <w:t xml:space="preserve"> </w:t>
      </w:r>
      <w:r w:rsidRPr="00707920">
        <w:rPr>
          <w:rFonts w:ascii="David" w:hAnsi="David"/>
          <w:rtl/>
        </w:rPr>
        <w:t>להסכם הבוררות</w:t>
      </w:r>
      <w:r w:rsidRPr="00707920">
        <w:rPr>
          <w:rFonts w:ascii="David" w:hAnsi="David"/>
        </w:rPr>
        <w:t xml:space="preserve"> </w:t>
      </w:r>
      <w:r w:rsidRPr="00707920">
        <w:rPr>
          <w:rFonts w:ascii="David" w:hAnsi="David"/>
          <w:rtl/>
        </w:rPr>
        <w:t xml:space="preserve">(ס' 9) ג. היחיד לא יכול היה להעניק . לגרושה יותר ממה שיש לו ( ( סעיף 10 ) וזכויות שכבר עוקלו אינן זכות שביושר  (סעיף 14)  גם הגרושה הראשונה התייחסה </w:t>
      </w:r>
      <w:r w:rsidRPr="00707920">
        <w:rPr>
          <w:rFonts w:ascii="David" w:hAnsi="David"/>
        </w:rPr>
        <w:t xml:space="preserve"> </w:t>
      </w:r>
      <w:r w:rsidRPr="00707920">
        <w:rPr>
          <w:rFonts w:ascii="David" w:hAnsi="David"/>
          <w:rtl/>
        </w:rPr>
        <w:t xml:space="preserve">להלכת אהרונוב וטענה שאינה רלבנטית (ס' 11) כפרה בטענה למכר בתום </w:t>
      </w:r>
      <w:r w:rsidRPr="00707920">
        <w:rPr>
          <w:rFonts w:ascii="David" w:hAnsi="David"/>
        </w:rPr>
        <w:t xml:space="preserve"> </w:t>
      </w:r>
      <w:r w:rsidRPr="00707920">
        <w:rPr>
          <w:rFonts w:ascii="David" w:hAnsi="David"/>
          <w:rtl/>
        </w:rPr>
        <w:t>לב של זכויות כי בעת ההסכם היה ידוע שיש עיקול על הנכס (ס'12)  לטענת האשת החייב מבקשת להשתתף בזכויות ששייכות לה (ס' 14)</w:t>
      </w:r>
    </w:p>
    <w:p w14:paraId="24AD7B79" w14:textId="77777777" w:rsidR="00707920" w:rsidRPr="00707920" w:rsidRDefault="00707920" w:rsidP="00707920">
      <w:pPr>
        <w:numPr>
          <w:ilvl w:val="0"/>
          <w:numId w:val="2"/>
        </w:numPr>
        <w:ind w:hanging="531"/>
        <w:contextualSpacing/>
        <w:jc w:val="both"/>
        <w:rPr>
          <w:rFonts w:ascii="David" w:hAnsi="David"/>
        </w:rPr>
      </w:pPr>
      <w:r w:rsidRPr="00707920">
        <w:rPr>
          <w:rFonts w:ascii="David" w:hAnsi="David"/>
          <w:rtl/>
        </w:rPr>
        <w:t xml:space="preserve">הנושה אישרה שהגישה בעבר  המרצת פתיחה לביטול פסק בורר גם מטעמי מרמה, או הסכם למראית עין , אך טענה "שהליך זה  לא רלוונטי לעניין זה " כי לטענה ניתן למכור למרבה במחיר(סעיף 17  )  </w:t>
      </w:r>
    </w:p>
    <w:p w14:paraId="2E66A8ED" w14:textId="77777777" w:rsidR="00707920" w:rsidRPr="00707920" w:rsidRDefault="00707920" w:rsidP="00707920">
      <w:pPr>
        <w:numPr>
          <w:ilvl w:val="0"/>
          <w:numId w:val="2"/>
        </w:numPr>
        <w:ind w:hanging="531"/>
        <w:contextualSpacing/>
        <w:jc w:val="both"/>
        <w:rPr>
          <w:rFonts w:ascii="David" w:hAnsi="David"/>
        </w:rPr>
      </w:pPr>
      <w:r w:rsidRPr="00707920">
        <w:rPr>
          <w:rFonts w:ascii="David" w:hAnsi="David"/>
          <w:rtl/>
        </w:rPr>
        <w:t>הגרושה הראשונה כפרה בטענות - נוספות של היחיד והגרושה השניה שכונו כטענות  מן הגורן והיקב שאין להן על מה לסמוך ובין היתר  טענה שחוב בהוצל"פ לא התיישן (סעיף 17) דומה שבכך כוונה לכך שפעולתה כזוכה בתיק ההוצל"פ איפסה</w:t>
      </w:r>
      <w:r w:rsidRPr="00707920">
        <w:rPr>
          <w:rFonts w:ascii="David" w:hAnsi="David"/>
        </w:rPr>
        <w:t xml:space="preserve"> </w:t>
      </w:r>
      <w:r w:rsidRPr="00707920">
        <w:rPr>
          <w:rFonts w:ascii="David" w:hAnsi="David"/>
          <w:rtl/>
        </w:rPr>
        <w:t xml:space="preserve">את תקופת ההתיישנות . עוד הוסיף כי הגרושה השניה אינה יכולה לטעון שישנה על זכויותיה בעוד היא פעלה כבר מ1997 בהוצלפ ואילו לגרושה השניה אין תיק הוצלפ עד היום כשבאורח פלא מחלה על חוב וחזרה לחיות עם היחיד ( סעיף 32) </w:t>
      </w:r>
      <w:r w:rsidRPr="00707920">
        <w:rPr>
          <w:rFonts w:ascii="David" w:hAnsi="David"/>
        </w:rPr>
        <w:t xml:space="preserve">  </w:t>
      </w:r>
      <w:r w:rsidRPr="00707920">
        <w:rPr>
          <w:rFonts w:ascii="David" w:hAnsi="David"/>
          <w:rtl/>
        </w:rPr>
        <w:t>. עו דציינה כי הטענה של הגרושה השניה שיהיה אליה לתבוע את החייב הן עורבא בפרח  ככי  כשימכר הנכס תקבל גם היא את ובותיה ץ  (33)</w:t>
      </w:r>
    </w:p>
    <w:p w14:paraId="336B5484" w14:textId="77777777" w:rsidR="00707920" w:rsidRPr="00707920" w:rsidRDefault="00707920" w:rsidP="00707920">
      <w:pPr>
        <w:numPr>
          <w:ilvl w:val="0"/>
          <w:numId w:val="2"/>
        </w:numPr>
        <w:contextualSpacing/>
        <w:jc w:val="both"/>
        <w:rPr>
          <w:rFonts w:ascii="David" w:hAnsi="David"/>
        </w:rPr>
      </w:pPr>
      <w:r w:rsidRPr="00707920">
        <w:rPr>
          <w:rFonts w:ascii="David" w:hAnsi="David"/>
          <w:rtl/>
        </w:rPr>
        <w:t xml:space="preserve">אגב הגרושה הראשונה טענה כי  שפסק הבורר  העניק לגרושה השניה  50 אחוז ,ולא את מלוא הזכויות </w:t>
      </w:r>
      <w:r w:rsidRPr="00707920">
        <w:rPr>
          <w:rFonts w:ascii="David" w:hAnsi="David"/>
        </w:rPr>
        <w:t xml:space="preserve"> </w:t>
      </w:r>
      <w:r w:rsidRPr="00707920">
        <w:rPr>
          <w:rFonts w:ascii="David" w:hAnsi="David"/>
          <w:rtl/>
        </w:rPr>
        <w:t xml:space="preserve">ושלפיכך יתרה נותרו בידי החייב  (.אולם,  אציין מעתה שפסק הדין  שהורה על רישום הזכויות במלואן על שמה משחצי ממילא רשומות )  (18+22) . הגרושה הראשונה טענה בין היתר שתמוהה אמירת הבורר שלפיה מבוקש ליתן צו מנניעה או העערת אזהרה על עיקול כדי למנוע נישולה של המשיבה מהנכס עד לסיום דיון מסודר (סעיף 19). לטענתה בבעלות היחיד עודנו קיים נכס משמעותי  ואף אם ויתר עליו הוא ויתר עליו כשהוא מעוקל ולפיכך זכותה קודמת ל"ההענקה ביזרית על פי "פסק הבורר" ( סעיף 21) </w:t>
      </w:r>
    </w:p>
    <w:p w14:paraId="379627EE" w14:textId="77777777" w:rsidR="00707920" w:rsidRPr="00707920" w:rsidRDefault="00707920" w:rsidP="00707920">
      <w:pPr>
        <w:numPr>
          <w:ilvl w:val="0"/>
          <w:numId w:val="2"/>
        </w:numPr>
        <w:contextualSpacing/>
        <w:jc w:val="both"/>
        <w:rPr>
          <w:rFonts w:ascii="David" w:hAnsi="David"/>
          <w:rtl/>
        </w:rPr>
      </w:pPr>
      <w:r w:rsidRPr="00707920">
        <w:rPr>
          <w:rFonts w:ascii="David" w:hAnsi="David"/>
          <w:rtl/>
        </w:rPr>
        <w:t xml:space="preserve">אגב סעיף 24 יש התייחסות לטענה שב מבמחן המציאות לטענתה היחיד מתגורר יחד ומנהל משק בית משותף  באופן התופח על פני פסק הדין( אך לא מבטלו) אין רלבנטיות לטענת המשכנתה לגבי חלקו של היחיד בנכס ( סעיף 27 ) </w:t>
      </w:r>
    </w:p>
    <w:p w14:paraId="16869ABC" w14:textId="77777777" w:rsidR="00707920" w:rsidRPr="00707920" w:rsidRDefault="00707920" w:rsidP="00707920">
      <w:pPr>
        <w:numPr>
          <w:ilvl w:val="0"/>
          <w:numId w:val="2"/>
        </w:numPr>
        <w:contextualSpacing/>
        <w:jc w:val="both"/>
        <w:rPr>
          <w:rFonts w:ascii="David" w:hAnsi="David"/>
          <w:rtl/>
        </w:rPr>
      </w:pPr>
      <w:r w:rsidRPr="00707920">
        <w:rPr>
          <w:rFonts w:ascii="David" w:hAnsi="David"/>
          <w:rtl/>
        </w:rPr>
        <w:lastRenderedPageBreak/>
        <w:t>יש לדחות טענה שהיא ישנה על זכויותיה כי היא פעלה כבר מ1997 בהוצלפ ואילו לגרושה השניה אין תיק הוצלפ עד היום כשבאורח פלא מחלה על חוב וחזרה לחיות עם היחיד . טענתויה שיהה אליה לתבוע את החייב הן עורבא בפרח ובכל אופן כשימכר הנכס תקבל גם היא את ובותיה ץ (33) ובבאל ואפן</w:t>
      </w:r>
    </w:p>
    <w:p w14:paraId="44EAE22F" w14:textId="77777777" w:rsidR="00707920" w:rsidRPr="00707920" w:rsidRDefault="00707920" w:rsidP="00707920">
      <w:pPr>
        <w:pStyle w:val="3"/>
        <w:rPr>
          <w:rFonts w:ascii="David" w:hAnsi="David" w:cs="David"/>
          <w:sz w:val="14"/>
          <w:szCs w:val="14"/>
        </w:rPr>
      </w:pPr>
      <w:r w:rsidRPr="00707920">
        <w:rPr>
          <w:rFonts w:ascii="David" w:hAnsi="David" w:cs="David"/>
          <w:sz w:val="14"/>
          <w:szCs w:val="14"/>
        </w:rPr>
        <w:t xml:space="preserve"> </w:t>
      </w:r>
      <w:bookmarkStart w:id="18" w:name="_Toc168898765"/>
      <w:r w:rsidRPr="00707920">
        <w:rPr>
          <w:rFonts w:ascii="David" w:hAnsi="David" w:cs="David"/>
          <w:sz w:val="14"/>
          <w:szCs w:val="14"/>
          <w:rtl/>
        </w:rPr>
        <w:t>ן</w:t>
      </w:r>
      <w:bookmarkEnd w:id="18"/>
    </w:p>
    <w:p w14:paraId="01F3EE49" w14:textId="77777777" w:rsidR="00707920" w:rsidRPr="00707920" w:rsidRDefault="00707920" w:rsidP="00707920">
      <w:pPr>
        <w:pStyle w:val="3"/>
        <w:rPr>
          <w:rFonts w:ascii="David" w:hAnsi="David" w:cs="David"/>
          <w:rtl/>
        </w:rPr>
      </w:pPr>
      <w:bookmarkStart w:id="19" w:name="_Toc168898766"/>
      <w:r w:rsidRPr="00707920">
        <w:rPr>
          <w:rFonts w:ascii="David" w:hAnsi="David" w:cs="David"/>
          <w:rtl/>
        </w:rPr>
        <w:t>ג(5) תמצית עמדת הממונה המצטרף לבקשת הנאמן  לפירוק השיתוף.</w:t>
      </w:r>
      <w:bookmarkEnd w:id="19"/>
      <w:r w:rsidRPr="00707920">
        <w:rPr>
          <w:rFonts w:ascii="David" w:hAnsi="David" w:cs="David"/>
          <w:rtl/>
        </w:rPr>
        <w:t xml:space="preserve"> </w:t>
      </w:r>
    </w:p>
    <w:p w14:paraId="06090565" w14:textId="77777777" w:rsidR="00707920" w:rsidRPr="00707920" w:rsidRDefault="00707920" w:rsidP="00707920">
      <w:pPr>
        <w:suppressLineNumbers/>
        <w:rPr>
          <w:rFonts w:ascii="David" w:hAnsi="David"/>
          <w:rtl/>
        </w:rPr>
      </w:pPr>
    </w:p>
    <w:p w14:paraId="2320A0E1" w14:textId="77777777" w:rsidR="00707920" w:rsidRPr="00707920" w:rsidRDefault="00707920" w:rsidP="00707920">
      <w:pPr>
        <w:numPr>
          <w:ilvl w:val="0"/>
          <w:numId w:val="2"/>
        </w:numPr>
        <w:ind w:hanging="531"/>
        <w:contextualSpacing/>
        <w:jc w:val="both"/>
        <w:rPr>
          <w:rFonts w:ascii="David" w:hAnsi="David"/>
          <w:rtl/>
        </w:rPr>
      </w:pPr>
      <w:r w:rsidRPr="00707920">
        <w:rPr>
          <w:rFonts w:ascii="David" w:hAnsi="David"/>
          <w:rtl/>
        </w:rPr>
        <w:t>הממונה הצטרף לבקשת הנאמן לפירוק השיתוף</w:t>
      </w:r>
    </w:p>
    <w:p w14:paraId="35C89027" w14:textId="77777777" w:rsidR="00707920" w:rsidRPr="00707920" w:rsidRDefault="00707920" w:rsidP="00707920">
      <w:pPr>
        <w:numPr>
          <w:ilvl w:val="0"/>
          <w:numId w:val="2"/>
        </w:numPr>
        <w:ind w:hanging="531"/>
        <w:contextualSpacing/>
        <w:jc w:val="both"/>
        <w:rPr>
          <w:rFonts w:ascii="David" w:hAnsi="David"/>
        </w:rPr>
      </w:pPr>
      <w:r w:rsidRPr="00707920">
        <w:rPr>
          <w:rFonts w:ascii="David" w:hAnsi="David"/>
          <w:rtl/>
        </w:rPr>
        <w:t xml:space="preserve">עמדת הממונה מופיעה בהצעת הממונה לדיון בצו לשיקום כלכלי  מיום 6.5.24 שבה כתב שהוא מסכים עם הנאמן בדבר מימוש נכסו  של החייב  ובתגובה מפורטת שהגיש ביום 7.4.24 בגדר בקשה 14 בנט .   הממונה ציין שמדובר ביחיד שעל פי טענות שתי בנות הזוג שלו, מעולם לא זן את ילדיו ונתן סיכוי למגעים נוספים לפתרון סכסוך ארוך שנים זה . ( ס' ף 11)  ביחס לטענת הגרושה השניה ש"לא ראוי לתקן עוול בעוול" הממונה  ציין שהגרושה השניה  בעצמה  לא מגלה הבנה וגישה דומה </w:t>
      </w:r>
      <w:r w:rsidRPr="00707920">
        <w:rPr>
          <w:rFonts w:ascii="David" w:hAnsi="David"/>
        </w:rPr>
        <w:t xml:space="preserve"> </w:t>
      </w:r>
      <w:r w:rsidRPr="00707920">
        <w:rPr>
          <w:rFonts w:ascii="David" w:hAnsi="David"/>
          <w:rtl/>
        </w:rPr>
        <w:t>לגרושה הראשונה שגם את מזונות בנה היחיד לא שילם מעולם.</w:t>
      </w:r>
    </w:p>
    <w:p w14:paraId="6A4EEA24" w14:textId="6EC70868" w:rsidR="00707920" w:rsidRPr="00707920" w:rsidRDefault="00707920" w:rsidP="001F22E0">
      <w:pPr>
        <w:numPr>
          <w:ilvl w:val="0"/>
          <w:numId w:val="2"/>
        </w:numPr>
        <w:suppressLineNumbers/>
        <w:ind w:hanging="531"/>
        <w:contextualSpacing/>
        <w:jc w:val="both"/>
        <w:rPr>
          <w:rFonts w:ascii="David" w:hAnsi="David"/>
          <w:sz w:val="14"/>
          <w:szCs w:val="14"/>
        </w:rPr>
      </w:pPr>
      <w:r w:rsidRPr="00707920">
        <w:rPr>
          <w:rFonts w:ascii="David" w:hAnsi="David"/>
          <w:rtl/>
        </w:rPr>
        <w:t xml:space="preserve"> הנימוק המרכזי שביסוד עמדת הממונה המצטרף לבקשה לפירוק שיתוף -  דומה לעמדת הנאמן  והוא כי לטובת הגרושה הראשונה קיים עיקול, שקדם בזמן לעריכת ההסכם המעביר את הזכויות למשיבה. ( ס 1+2 )  הממונה . התייחס להתנגדות היחיד והגרושה ציין את הדמיון בין עמדותיהם. </w:t>
      </w:r>
    </w:p>
    <w:p w14:paraId="707951A0" w14:textId="77777777" w:rsidR="00707920" w:rsidRPr="00707920" w:rsidRDefault="00707920" w:rsidP="00707920">
      <w:pPr>
        <w:numPr>
          <w:ilvl w:val="0"/>
          <w:numId w:val="2"/>
        </w:numPr>
        <w:ind w:hanging="531"/>
        <w:contextualSpacing/>
        <w:jc w:val="both"/>
        <w:rPr>
          <w:rFonts w:ascii="David" w:hAnsi="David"/>
          <w:rtl/>
        </w:rPr>
      </w:pPr>
      <w:r w:rsidRPr="00707920">
        <w:rPr>
          <w:rFonts w:ascii="David" w:hAnsi="David"/>
          <w:rtl/>
        </w:rPr>
        <w:t xml:space="preserve">הממונה הצטרף לעמדת הנאמן שלצורך פירוק אין מקום להכנס לעובי הקורה, ולבחון האם ההסכם אותנטי למרות המגורים ביחד , ולמרות התהיות רבות שציין הנאמן והממונה הוסיף להן תהיה משלו.  </w:t>
      </w:r>
    </w:p>
    <w:p w14:paraId="793D4C33" w14:textId="77777777" w:rsidR="00707920" w:rsidRPr="000A461F" w:rsidRDefault="00707920" w:rsidP="00707920">
      <w:pPr>
        <w:numPr>
          <w:ilvl w:val="0"/>
          <w:numId w:val="2"/>
        </w:numPr>
        <w:ind w:hanging="531"/>
        <w:contextualSpacing/>
        <w:jc w:val="both"/>
        <w:rPr>
          <w:rFonts w:ascii="David" w:hAnsi="David"/>
        </w:rPr>
      </w:pPr>
      <w:r w:rsidRPr="000A461F">
        <w:rPr>
          <w:rFonts w:ascii="David" w:hAnsi="David"/>
          <w:rtl/>
        </w:rPr>
        <w:t xml:space="preserve">הממונה   מתייחס בין היתר  </w:t>
      </w:r>
      <w:r w:rsidRPr="000A461F">
        <w:rPr>
          <w:rFonts w:ascii="David" w:hAnsi="David"/>
        </w:rPr>
        <w:t xml:space="preserve"> </w:t>
      </w:r>
      <w:r w:rsidRPr="000A461F">
        <w:rPr>
          <w:rFonts w:ascii="David" w:hAnsi="David"/>
          <w:rtl/>
        </w:rPr>
        <w:t>לכך שפסק הבורר "הלך כברת דרך נוספת" כאשר העביר לגרושה השניה  את מלוא הזכויות בנכס, ולא רק את מחציתן. זאת, למרות שאין כל אינדיקציה לכך ש</w:t>
      </w:r>
      <w:r w:rsidRPr="000A461F">
        <w:rPr>
          <w:rFonts w:ascii="David" w:hAnsi="David"/>
          <w:b/>
          <w:bCs/>
          <w:rtl/>
        </w:rPr>
        <w:t xml:space="preserve">התמורה </w:t>
      </w:r>
      <w:r w:rsidRPr="000A461F">
        <w:rPr>
          <w:rFonts w:ascii="David" w:hAnsi="David"/>
          <w:rtl/>
        </w:rPr>
        <w:t xml:space="preserve">ששילמה הגרושה השניה היא אכן  תמורה הולמת. לפי הממונה ההיפך  מסתבר . כלומר מסתבר </w:t>
      </w:r>
      <w:r w:rsidRPr="000A461F">
        <w:rPr>
          <w:rFonts w:ascii="David" w:hAnsi="David"/>
          <w:b/>
          <w:bCs/>
          <w:rtl/>
        </w:rPr>
        <w:t xml:space="preserve">שהגרושה השניה לא שילמה  ליחיד תמורה  הולמת </w:t>
      </w:r>
      <w:r w:rsidRPr="000A461F">
        <w:rPr>
          <w:rFonts w:ascii="David" w:hAnsi="David"/>
        </w:rPr>
        <w:t xml:space="preserve"> </w:t>
      </w:r>
      <w:r w:rsidRPr="000A461F">
        <w:rPr>
          <w:rFonts w:ascii="David" w:hAnsi="David"/>
          <w:rtl/>
        </w:rPr>
        <w:t xml:space="preserve">. זאת, כי הסכום הנקוב בפסק הבורר שהוא כ187 אלף ₪ </w:t>
      </w:r>
      <w:r w:rsidRPr="000A461F">
        <w:rPr>
          <w:rFonts w:ascii="David" w:hAnsi="David"/>
          <w:b/>
          <w:bCs/>
          <w:rtl/>
        </w:rPr>
        <w:t xml:space="preserve">נמוך ביחס לשווי המשק  </w:t>
      </w:r>
      <w:r w:rsidRPr="000A461F">
        <w:rPr>
          <w:rFonts w:ascii="David" w:hAnsi="David"/>
          <w:rtl/>
        </w:rPr>
        <w:t xml:space="preserve">( ס' 5)  </w:t>
      </w:r>
    </w:p>
    <w:p w14:paraId="3FA14214" w14:textId="77777777" w:rsidR="00707920" w:rsidRPr="00707920" w:rsidRDefault="00707920" w:rsidP="00707920">
      <w:pPr>
        <w:numPr>
          <w:ilvl w:val="0"/>
          <w:numId w:val="2"/>
        </w:numPr>
        <w:ind w:hanging="531"/>
        <w:contextualSpacing/>
        <w:jc w:val="both"/>
        <w:rPr>
          <w:rFonts w:ascii="David" w:hAnsi="David"/>
        </w:rPr>
      </w:pPr>
      <w:r w:rsidRPr="00707920">
        <w:rPr>
          <w:rFonts w:ascii="David" w:hAnsi="David"/>
          <w:rtl/>
        </w:rPr>
        <w:t>גם  לפי עמדת הממונה  הליכי</w:t>
      </w:r>
      <w:r w:rsidRPr="00707920">
        <w:rPr>
          <w:rFonts w:ascii="David" w:hAnsi="David"/>
          <w:b/>
          <w:bCs/>
          <w:rtl/>
        </w:rPr>
        <w:t xml:space="preserve">ם שהיו לאחר העיקול אינם מהווים השתק פלוגתה כלפי הגרושה השניה כי לא הייתה צד להם ואין בהם הכרעה לגופו של עניין   אך מוסיף כמה נקודות לאמור מפי הנאמן </w:t>
      </w:r>
      <w:r w:rsidRPr="00707920">
        <w:rPr>
          <w:rFonts w:ascii="David" w:hAnsi="David"/>
          <w:rtl/>
        </w:rPr>
        <w:t xml:space="preserve"> .</w:t>
      </w:r>
    </w:p>
    <w:p w14:paraId="2870D55B" w14:textId="77777777" w:rsidR="00707920" w:rsidRPr="00707920" w:rsidRDefault="00707920" w:rsidP="00707920">
      <w:pPr>
        <w:numPr>
          <w:ilvl w:val="0"/>
          <w:numId w:val="2"/>
        </w:numPr>
        <w:suppressLineNumbers/>
        <w:contextualSpacing/>
        <w:jc w:val="both"/>
        <w:rPr>
          <w:rFonts w:ascii="David" w:hAnsi="David"/>
        </w:rPr>
      </w:pPr>
      <w:r w:rsidRPr="00707920">
        <w:rPr>
          <w:rFonts w:ascii="David" w:hAnsi="David"/>
          <w:rtl/>
        </w:rPr>
        <w:t xml:space="preserve">גם הממונה  סבור שפסק הבורר -  אינו מהווה השתק כלפי הגרושה הראשונה כי לא הייתה צד לו וכי אין בו הכרעה לגוף הענין ( סעיף 7 )    הממונה מותח ביקורת על ניסוח פסק הבורר כי לשיטתו מאופן כתיבתו בהזכירו את הליכי ההלוצל"פ ניכרת העדפה ברורה להבטחת זכויות המשיבה ובנה וחוסר אובייקטיביות של הבורר כלפי הגרושה הראשונה . הממון סבור שקיימת תהיה  בכך שהרב  שפסק בבוררות, היה לכאורה רב שכונתי, מאותו מושב בני ראם שלא ידוע  אם קיימת לו היכרות מוקדמת  מעצם היותם מאותו מושב (  ברם זאת טענה  שאינה דרושה להכרעה ובהליך זה שבו אין המדובר בבקשה לביטול פסק הבורר לא ראיתי </w:t>
      </w:r>
      <w:r w:rsidRPr="00707920">
        <w:rPr>
          <w:rFonts w:ascii="David" w:hAnsi="David"/>
        </w:rPr>
        <w:t xml:space="preserve"> </w:t>
      </w:r>
      <w:r w:rsidRPr="00707920">
        <w:rPr>
          <w:rFonts w:ascii="David" w:hAnsi="David"/>
          <w:rtl/>
        </w:rPr>
        <w:t xml:space="preserve">להידרש לה ).  עוד ציין  הממונה  שפסק הבורר  עסק ביחסים  הפנימיים שבין  היחיד, לבין הגרושה השניה אולם לא עסק ביחסים </w:t>
      </w:r>
      <w:r w:rsidRPr="00707920">
        <w:rPr>
          <w:rFonts w:ascii="David" w:hAnsi="David"/>
        </w:rPr>
        <w:t xml:space="preserve"> </w:t>
      </w:r>
      <w:r w:rsidRPr="00707920">
        <w:rPr>
          <w:rFonts w:ascii="David" w:hAnsi="David"/>
          <w:rtl/>
        </w:rPr>
        <w:t xml:space="preserve"> כלפי הגרושה הראשונה  הבורר ציין ושגם היחיד טען שאין למבקשת עניין בו </w:t>
      </w:r>
      <w:r w:rsidRPr="00707920">
        <w:rPr>
          <w:rFonts w:ascii="David" w:hAnsi="David"/>
        </w:rPr>
        <w:t xml:space="preserve"> </w:t>
      </w:r>
      <w:r w:rsidRPr="00707920">
        <w:rPr>
          <w:rFonts w:ascii="David" w:hAnsi="David"/>
          <w:rtl/>
        </w:rPr>
        <w:t xml:space="preserve"> ( ס' 7 )</w:t>
      </w:r>
      <w:r w:rsidRPr="00707920">
        <w:rPr>
          <w:rFonts w:ascii="David" w:hAnsi="David"/>
          <w:b/>
          <w:bCs/>
          <w:rtl/>
        </w:rPr>
        <w:t>ה</w:t>
      </w:r>
      <w:r w:rsidRPr="00707920">
        <w:rPr>
          <w:rFonts w:ascii="David" w:hAnsi="David"/>
          <w:rtl/>
        </w:rPr>
        <w:t xml:space="preserve"> . לגבי פסק הדין שהורה על רישום הזכות, </w:t>
      </w:r>
      <w:r w:rsidRPr="00707920">
        <w:rPr>
          <w:rFonts w:ascii="David" w:hAnsi="David"/>
        </w:rPr>
        <w:t xml:space="preserve"> </w:t>
      </w:r>
      <w:r w:rsidRPr="00707920">
        <w:rPr>
          <w:rFonts w:ascii="David" w:hAnsi="David"/>
          <w:rtl/>
        </w:rPr>
        <w:t xml:space="preserve">בחר הממונה לציין שסביר להניח שלפי נהלי רשות לא ניתן להעביר זכויות עם זאת לא ציין שהייתה בענין פניה להבהרת פסק דין ונזק מלטעון במפורש שהתייחסות לנהלי הרשות נועדה לאיין את עצם הצו. הממונה ציין שלא נערך דיון המבהיר איזו זכות גוברת ( סעיף 7)  </w:t>
      </w:r>
    </w:p>
    <w:p w14:paraId="0BB5C09B" w14:textId="77777777" w:rsidR="00707920" w:rsidRPr="00707920" w:rsidRDefault="00707920" w:rsidP="00707920">
      <w:pPr>
        <w:numPr>
          <w:ilvl w:val="0"/>
          <w:numId w:val="2"/>
        </w:numPr>
        <w:ind w:hanging="531"/>
        <w:contextualSpacing/>
        <w:jc w:val="both"/>
        <w:rPr>
          <w:rFonts w:ascii="David" w:hAnsi="David"/>
          <w:rtl/>
        </w:rPr>
      </w:pPr>
      <w:r w:rsidRPr="00707920">
        <w:rPr>
          <w:rFonts w:ascii="David" w:hAnsi="David"/>
          <w:rtl/>
        </w:rPr>
        <w:t xml:space="preserve"> גם הממונה מסביר כי  ה</w:t>
      </w:r>
      <w:r w:rsidRPr="00707920">
        <w:rPr>
          <w:rFonts w:ascii="David" w:hAnsi="David"/>
          <w:b/>
          <w:bCs/>
          <w:rtl/>
        </w:rPr>
        <w:t xml:space="preserve">מרצת הפתיחה שהגישה הגרושה הראשונה  לביטול פסק הבורר </w:t>
      </w:r>
      <w:r w:rsidRPr="00707920">
        <w:rPr>
          <w:rFonts w:ascii="David" w:hAnsi="David"/>
          <w:b/>
          <w:bCs/>
        </w:rPr>
        <w:t xml:space="preserve"> </w:t>
      </w:r>
      <w:r w:rsidRPr="00707920">
        <w:rPr>
          <w:rFonts w:ascii="David" w:hAnsi="David"/>
          <w:b/>
          <w:bCs/>
          <w:rtl/>
        </w:rPr>
        <w:t xml:space="preserve">  </w:t>
      </w:r>
      <w:r w:rsidRPr="00707920">
        <w:rPr>
          <w:rFonts w:ascii="David" w:hAnsi="David"/>
          <w:rtl/>
        </w:rPr>
        <w:t xml:space="preserve">אינה  מלמדת  על מעשה בית דין והוסיף שהוצע למחוק את ההמרצה  הזאת,  מחמת היעדר כפיפות הגרושה הראשונה להסכם. המומחה ציין שנמחק בעבר ערעור על רשמת ההוצל"פ </w:t>
      </w:r>
      <w:r w:rsidRPr="00707920">
        <w:rPr>
          <w:rFonts w:ascii="David" w:hAnsi="David"/>
        </w:rPr>
        <w:t xml:space="preserve"> </w:t>
      </w:r>
    </w:p>
    <w:p w14:paraId="56AAA4CB" w14:textId="77777777" w:rsidR="00707920" w:rsidRPr="00707920" w:rsidRDefault="00707920" w:rsidP="00707920">
      <w:pPr>
        <w:numPr>
          <w:ilvl w:val="0"/>
          <w:numId w:val="2"/>
        </w:numPr>
        <w:ind w:hanging="531"/>
        <w:contextualSpacing/>
        <w:jc w:val="both"/>
        <w:rPr>
          <w:rFonts w:ascii="David" w:hAnsi="David"/>
        </w:rPr>
      </w:pPr>
      <w:r w:rsidRPr="00707920">
        <w:rPr>
          <w:rFonts w:ascii="David" w:hAnsi="David"/>
          <w:rtl/>
        </w:rPr>
        <w:t xml:space="preserve">בנוסף, הממונה ציין שהרישום הקניני הוא  הקובע ולא זכויות האובליגטריות  הבלתי רשומות. לשיטתו, ומאשר שהנכס רשום על שם היחיד ההליך המתאים הוא ההליך של פירוק השיתוף שבו נקט הנאמן </w:t>
      </w:r>
      <w:r w:rsidRPr="00707920">
        <w:rPr>
          <w:rFonts w:ascii="David" w:hAnsi="David"/>
        </w:rPr>
        <w:t xml:space="preserve">  </w:t>
      </w:r>
      <w:r w:rsidRPr="00707920">
        <w:rPr>
          <w:rFonts w:ascii="David" w:hAnsi="David"/>
          <w:rtl/>
        </w:rPr>
        <w:t>.</w:t>
      </w:r>
      <w:r w:rsidRPr="00707920">
        <w:rPr>
          <w:rFonts w:ascii="David" w:hAnsi="David"/>
        </w:rPr>
        <w:t xml:space="preserve"> </w:t>
      </w:r>
    </w:p>
    <w:p w14:paraId="6B80D935" w14:textId="77777777" w:rsidR="00707920" w:rsidRPr="00707920" w:rsidRDefault="00707920" w:rsidP="00707920">
      <w:pPr>
        <w:numPr>
          <w:ilvl w:val="0"/>
          <w:numId w:val="2"/>
        </w:numPr>
        <w:suppressLineNumbers/>
        <w:ind w:hanging="531"/>
        <w:contextualSpacing/>
        <w:jc w:val="both"/>
        <w:rPr>
          <w:rFonts w:ascii="David" w:hAnsi="David"/>
          <w:rtl/>
        </w:rPr>
      </w:pPr>
      <w:r w:rsidRPr="00707920">
        <w:rPr>
          <w:rFonts w:ascii="David" w:hAnsi="David"/>
          <w:rtl/>
        </w:rPr>
        <w:t xml:space="preserve"> בנוסף, גם  הממונה מציין שהעברת הנכס  לא הייתה </w:t>
      </w:r>
      <w:r w:rsidRPr="00707920">
        <w:rPr>
          <w:rFonts w:ascii="David" w:hAnsi="David"/>
          <w:b/>
          <w:bCs/>
          <w:rtl/>
        </w:rPr>
        <w:t xml:space="preserve">בתום לב </w:t>
      </w:r>
      <w:r w:rsidRPr="00707920">
        <w:rPr>
          <w:rFonts w:ascii="David" w:hAnsi="David"/>
        </w:rPr>
        <w:t xml:space="preserve"> </w:t>
      </w:r>
      <w:r w:rsidRPr="00707920">
        <w:rPr>
          <w:rFonts w:ascii="David" w:hAnsi="David"/>
          <w:b/>
          <w:bCs/>
          <w:rtl/>
        </w:rPr>
        <w:t>.</w:t>
      </w:r>
      <w:r w:rsidRPr="00707920">
        <w:rPr>
          <w:rFonts w:ascii="David" w:hAnsi="David"/>
          <w:rtl/>
        </w:rPr>
        <w:t xml:space="preserve"> גם הממונה סבור שהעובדה שהגרושה ידעה  הן על קיומו של חוב מזונות והן על העיקול על הנכס שנרשם כבר בשנת 1998, שוללת את תום לבה של הגרושה הראשונה ( סעיף 9)  הממונה מציין שהיחיד שלא שילם מזונות פעל שלא בתום לב</w:t>
      </w:r>
      <w:r w:rsidRPr="00707920">
        <w:rPr>
          <w:rFonts w:ascii="David" w:hAnsi="David"/>
        </w:rPr>
        <w:t xml:space="preserve"> </w:t>
      </w:r>
      <w:r w:rsidRPr="00707920">
        <w:rPr>
          <w:rFonts w:ascii="David" w:hAnsi="David"/>
          <w:rtl/>
        </w:rPr>
        <w:t xml:space="preserve"> ( סעיף 9) הממונה ציין גם שדיני התחרות מעניקים בכורה לזוכה הראשון בזמן ,בכפוף לזכות הקונה בתמורה ובתום לב  שרשם עסקה לטובתו בעודו בתום לב וזאת לפי הלכת אהרונוב ( סעיף 9 סיפא)  </w:t>
      </w:r>
    </w:p>
    <w:p w14:paraId="4919C1CF" w14:textId="77777777" w:rsidR="00707920" w:rsidRPr="00707920" w:rsidRDefault="00707920" w:rsidP="00707920">
      <w:pPr>
        <w:numPr>
          <w:ilvl w:val="0"/>
          <w:numId w:val="2"/>
        </w:numPr>
        <w:suppressLineNumbers/>
        <w:ind w:hanging="531"/>
        <w:contextualSpacing/>
        <w:jc w:val="both"/>
        <w:rPr>
          <w:rFonts w:ascii="David" w:hAnsi="David"/>
        </w:rPr>
      </w:pPr>
      <w:r w:rsidRPr="00707920">
        <w:rPr>
          <w:rFonts w:ascii="David" w:hAnsi="David"/>
          <w:rtl/>
        </w:rPr>
        <w:t xml:space="preserve">הממונה  מציין  שגם לפי עמדתו אין צורך להיזקק לסעיף 220 לחוק, אך בהקשר זה </w:t>
      </w:r>
      <w:r w:rsidRPr="00707920">
        <w:rPr>
          <w:rFonts w:ascii="David" w:hAnsi="David"/>
        </w:rPr>
        <w:t xml:space="preserve"> </w:t>
      </w:r>
      <w:r w:rsidRPr="00707920">
        <w:rPr>
          <w:rFonts w:ascii="David" w:hAnsi="David"/>
          <w:rtl/>
        </w:rPr>
        <w:t xml:space="preserve">כשהוא מתייחס לגישת הפסיקה   שמזכיר הנאמן שלפיה קובע מועד  הרישום קנייני  ולא מועד העברת הזכויות האובליגטוריות הוא מזכיר ,  לא רשומות  שגם יש גישה מנוגדת בפסיקה </w:t>
      </w:r>
      <w:r w:rsidRPr="00707920">
        <w:rPr>
          <w:rFonts w:ascii="David" w:hAnsi="David"/>
        </w:rPr>
        <w:t xml:space="preserve"> </w:t>
      </w:r>
      <w:r w:rsidRPr="00707920">
        <w:rPr>
          <w:rFonts w:ascii="David" w:hAnsi="David"/>
          <w:rtl/>
        </w:rPr>
        <w:t>(</w:t>
      </w:r>
      <w:r w:rsidRPr="00707920">
        <w:rPr>
          <w:rFonts w:ascii="David" w:hAnsi="David"/>
        </w:rPr>
        <w:t xml:space="preserve"> </w:t>
      </w:r>
      <w:r w:rsidRPr="00707920">
        <w:rPr>
          <w:rFonts w:ascii="David" w:hAnsi="David"/>
          <w:rtl/>
        </w:rPr>
        <w:t xml:space="preserve">סעיף 8) </w:t>
      </w:r>
    </w:p>
    <w:p w14:paraId="7C2D1044" w14:textId="77777777" w:rsidR="00707920" w:rsidRPr="00707920" w:rsidRDefault="00707920" w:rsidP="00707920">
      <w:pPr>
        <w:numPr>
          <w:ilvl w:val="0"/>
          <w:numId w:val="2"/>
        </w:numPr>
        <w:suppressLineNumbers/>
        <w:ind w:hanging="531"/>
        <w:contextualSpacing/>
        <w:jc w:val="both"/>
        <w:rPr>
          <w:rFonts w:ascii="David" w:hAnsi="David"/>
        </w:rPr>
      </w:pPr>
      <w:r w:rsidRPr="00707920">
        <w:rPr>
          <w:rFonts w:ascii="David" w:hAnsi="David"/>
          <w:rtl/>
        </w:rPr>
        <w:t>ובכאמור בסיום הממונה מציין ביחס לטענת העוול מצד הגרושה השניה ש"נכון יהיה כי ההצעה תשופר ויעשה ניסיון נוסף להגיע להסכמות "</w:t>
      </w:r>
      <w:r w:rsidRPr="00707920">
        <w:rPr>
          <w:rFonts w:ascii="David" w:hAnsi="David"/>
        </w:rPr>
        <w:t xml:space="preserve"> </w:t>
      </w:r>
      <w:r w:rsidRPr="00707920">
        <w:rPr>
          <w:rFonts w:ascii="David" w:hAnsi="David"/>
          <w:rtl/>
        </w:rPr>
        <w:t xml:space="preserve">( סעיף 11 ) זאת בהמשך לכך שציין  כי </w:t>
      </w:r>
      <w:r w:rsidRPr="00707920">
        <w:rPr>
          <w:rFonts w:ascii="David" w:hAnsi="David"/>
        </w:rPr>
        <w:t xml:space="preserve"> </w:t>
      </w:r>
      <w:r w:rsidRPr="00707920">
        <w:rPr>
          <w:rFonts w:ascii="David" w:hAnsi="David"/>
          <w:rtl/>
        </w:rPr>
        <w:t xml:space="preserve"> היחיד לא שילם מזונות אף אחד מילדיו וכי בנסיבות אלה הגושה השניה אינה מגלה הבנה וגישה דומה למצב הגרושה הראשונה שגם את מזונות בנה לא שילם</w:t>
      </w:r>
    </w:p>
    <w:p w14:paraId="16F38135" w14:textId="77777777" w:rsidR="00707920" w:rsidRPr="00707920" w:rsidRDefault="00707920" w:rsidP="00707920">
      <w:pPr>
        <w:keepNext/>
        <w:keepLines/>
        <w:spacing w:before="200"/>
        <w:jc w:val="both"/>
        <w:outlineLvl w:val="1"/>
        <w:rPr>
          <w:rFonts w:ascii="David" w:hAnsi="David"/>
          <w:b/>
          <w:bCs/>
          <w:color w:val="4F81BD" w:themeColor="accent1"/>
          <w:sz w:val="28"/>
          <w:u w:val="single"/>
          <w:rtl/>
        </w:rPr>
      </w:pPr>
      <w:bookmarkStart w:id="20" w:name="_Toc168898767"/>
      <w:r w:rsidRPr="00707920">
        <w:rPr>
          <w:rFonts w:ascii="David" w:hAnsi="David"/>
          <w:b/>
          <w:bCs/>
          <w:color w:val="4F81BD" w:themeColor="accent1"/>
          <w:sz w:val="28"/>
          <w:u w:val="single"/>
          <w:rtl/>
        </w:rPr>
        <w:t>ג. תמצית הטענות העיקריות בדיון</w:t>
      </w:r>
      <w:bookmarkEnd w:id="20"/>
      <w:r w:rsidRPr="00707920">
        <w:rPr>
          <w:rFonts w:ascii="David" w:hAnsi="David"/>
          <w:b/>
          <w:bCs/>
          <w:color w:val="4F81BD" w:themeColor="accent1"/>
          <w:sz w:val="28"/>
          <w:u w:val="single"/>
          <w:rtl/>
        </w:rPr>
        <w:t xml:space="preserve"> </w:t>
      </w:r>
    </w:p>
    <w:p w14:paraId="16B08E8C" w14:textId="77777777" w:rsidR="00707920" w:rsidRPr="00707920" w:rsidRDefault="00707920" w:rsidP="00707920">
      <w:pPr>
        <w:pStyle w:val="af4"/>
        <w:spacing w:after="0" w:line="240" w:lineRule="auto"/>
        <w:ind w:left="360"/>
        <w:jc w:val="both"/>
        <w:rPr>
          <w:rFonts w:ascii="David" w:eastAsiaTheme="minorHAnsi" w:hAnsi="David" w:cs="David"/>
          <w:sz w:val="24"/>
          <w:szCs w:val="24"/>
          <w:rtl/>
        </w:rPr>
      </w:pPr>
    </w:p>
    <w:p w14:paraId="0E593E7E" w14:textId="77777777" w:rsidR="00707920" w:rsidRPr="00707920" w:rsidRDefault="00707920" w:rsidP="00707920">
      <w:pPr>
        <w:pStyle w:val="af4"/>
        <w:spacing w:after="0" w:line="240" w:lineRule="auto"/>
        <w:ind w:left="360"/>
        <w:jc w:val="both"/>
        <w:rPr>
          <w:rFonts w:ascii="David" w:eastAsiaTheme="minorHAnsi" w:hAnsi="David" w:cs="David"/>
          <w:sz w:val="24"/>
          <w:szCs w:val="24"/>
          <w:rtl/>
        </w:rPr>
      </w:pPr>
    </w:p>
    <w:p w14:paraId="226C089A" w14:textId="78733E5D" w:rsidR="00707920" w:rsidRPr="00707920" w:rsidRDefault="00707920" w:rsidP="000A461F">
      <w:pPr>
        <w:numPr>
          <w:ilvl w:val="0"/>
          <w:numId w:val="2"/>
        </w:numPr>
        <w:ind w:hanging="531"/>
        <w:contextualSpacing/>
        <w:jc w:val="both"/>
        <w:rPr>
          <w:rFonts w:ascii="David" w:hAnsi="David"/>
          <w:b/>
          <w:bCs/>
          <w:u w:val="single"/>
        </w:rPr>
      </w:pPr>
      <w:r w:rsidRPr="00707920">
        <w:rPr>
          <w:rFonts w:ascii="David" w:hAnsi="David"/>
          <w:rtl/>
        </w:rPr>
        <w:t xml:space="preserve">בדיון נשמעו  הצדדים כמפורט בפרוטוקול </w:t>
      </w:r>
      <w:r w:rsidR="006B5497">
        <w:rPr>
          <w:rFonts w:ascii="David" w:hAnsi="David" w:hint="cs"/>
          <w:rtl/>
        </w:rPr>
        <w:t xml:space="preserve"> והפנו לטענות הכתובות  </w:t>
      </w:r>
      <w:r w:rsidR="00D36CF6">
        <w:rPr>
          <w:rFonts w:ascii="David" w:hAnsi="David" w:hint="cs"/>
          <w:b/>
          <w:bCs/>
          <w:u w:val="single"/>
          <w:rtl/>
        </w:rPr>
        <w:t>אך קיימו דיון מאומץ לגוף הדברים ולטובת הפיתרון</w:t>
      </w:r>
      <w:r w:rsidR="000D159D">
        <w:rPr>
          <w:rFonts w:ascii="David" w:hAnsi="David" w:hint="cs"/>
          <w:b/>
          <w:bCs/>
          <w:u w:val="single"/>
          <w:rtl/>
        </w:rPr>
        <w:t xml:space="preserve"> שלבסוף הוסכם ואין בהחלטה זאת לשנ</w:t>
      </w:r>
      <w:r w:rsidR="000A461F">
        <w:rPr>
          <w:rFonts w:ascii="David" w:hAnsi="David" w:hint="cs"/>
          <w:b/>
          <w:bCs/>
          <w:u w:val="single"/>
          <w:rtl/>
        </w:rPr>
        <w:t xml:space="preserve">ות </w:t>
      </w:r>
      <w:r w:rsidR="000D159D">
        <w:rPr>
          <w:rFonts w:ascii="David" w:hAnsi="David" w:hint="cs"/>
          <w:b/>
          <w:bCs/>
          <w:u w:val="single"/>
          <w:rtl/>
        </w:rPr>
        <w:t>את</w:t>
      </w:r>
      <w:r w:rsidR="000A461F">
        <w:rPr>
          <w:rFonts w:ascii="David" w:hAnsi="David" w:hint="cs"/>
          <w:b/>
          <w:bCs/>
          <w:u w:val="single"/>
          <w:rtl/>
        </w:rPr>
        <w:t xml:space="preserve"> הפתרון שהוסכם</w:t>
      </w:r>
      <w:r w:rsidR="000D159D">
        <w:rPr>
          <w:rFonts w:ascii="David" w:hAnsi="David" w:hint="cs"/>
          <w:b/>
          <w:bCs/>
          <w:u w:val="single"/>
          <w:rtl/>
        </w:rPr>
        <w:t>.</w:t>
      </w:r>
    </w:p>
    <w:p w14:paraId="2592B977" w14:textId="4EA0B626" w:rsidR="00707920" w:rsidRPr="00707920" w:rsidRDefault="00707920" w:rsidP="00707920">
      <w:pPr>
        <w:suppressLineNumbers/>
        <w:rPr>
          <w:rFonts w:ascii="David" w:hAnsi="David"/>
          <w:b/>
          <w:bCs/>
          <w:u w:val="single"/>
          <w:rtl/>
        </w:rPr>
      </w:pPr>
    </w:p>
    <w:p w14:paraId="08E1C295" w14:textId="77777777" w:rsidR="00707920" w:rsidRPr="00707920" w:rsidRDefault="00707920" w:rsidP="00707920">
      <w:pPr>
        <w:pStyle w:val="1"/>
        <w:rPr>
          <w:rFonts w:ascii="David" w:hAnsi="David" w:cs="David"/>
          <w:b/>
          <w:bCs/>
          <w:rtl/>
        </w:rPr>
      </w:pPr>
      <w:bookmarkStart w:id="21" w:name="_Toc168898768"/>
      <w:r w:rsidRPr="00707920">
        <w:rPr>
          <w:rFonts w:ascii="David" w:hAnsi="David" w:cs="David"/>
          <w:b/>
          <w:bCs/>
          <w:rtl/>
        </w:rPr>
        <w:t>ד. ההכרעה</w:t>
      </w:r>
      <w:bookmarkEnd w:id="21"/>
      <w:r w:rsidRPr="00707920">
        <w:rPr>
          <w:rFonts w:ascii="David" w:hAnsi="David" w:cs="David"/>
          <w:b/>
          <w:bCs/>
          <w:rtl/>
        </w:rPr>
        <w:t xml:space="preserve"> </w:t>
      </w:r>
    </w:p>
    <w:p w14:paraId="57F27205" w14:textId="77777777" w:rsidR="00707920" w:rsidRPr="00707920" w:rsidRDefault="00707920" w:rsidP="00707920">
      <w:pPr>
        <w:suppressLineNumbers/>
        <w:rPr>
          <w:rFonts w:ascii="David" w:hAnsi="David"/>
          <w:b/>
          <w:bCs/>
          <w:rtl/>
        </w:rPr>
      </w:pPr>
    </w:p>
    <w:p w14:paraId="0B0D03E2" w14:textId="77777777" w:rsidR="00707920" w:rsidRPr="00707920" w:rsidRDefault="00707920" w:rsidP="00707920">
      <w:pPr>
        <w:numPr>
          <w:ilvl w:val="0"/>
          <w:numId w:val="2"/>
        </w:numPr>
        <w:suppressLineNumbers/>
        <w:ind w:hanging="531"/>
        <w:contextualSpacing/>
        <w:jc w:val="both"/>
        <w:rPr>
          <w:rFonts w:ascii="David" w:hAnsi="David"/>
          <w:rtl/>
        </w:rPr>
      </w:pPr>
      <w:r w:rsidRPr="00707920">
        <w:rPr>
          <w:rFonts w:ascii="David" w:hAnsi="David"/>
          <w:u w:val="single"/>
          <w:rtl/>
        </w:rPr>
        <w:t xml:space="preserve">ראשית </w:t>
      </w:r>
      <w:r w:rsidRPr="00707920">
        <w:rPr>
          <w:rFonts w:ascii="David" w:hAnsi="David"/>
          <w:rtl/>
        </w:rPr>
        <w:t xml:space="preserve">יודגש </w:t>
      </w:r>
      <w:r w:rsidRPr="00707920">
        <w:rPr>
          <w:rFonts w:ascii="David" w:hAnsi="David"/>
        </w:rPr>
        <w:t xml:space="preserve"> </w:t>
      </w:r>
      <w:r w:rsidRPr="00707920">
        <w:rPr>
          <w:rFonts w:ascii="David" w:hAnsi="David"/>
          <w:rtl/>
        </w:rPr>
        <w:t xml:space="preserve">שחוב מזונות הוא אכן מיוחד ובעל חשיבות מוסרית  . בהתחשב  גם בכך נתנה  החלטה קודמת שהתירה לזכאית לפתוח  הליך  ולהשתמש באמצעים המיוחדים בחדל"פ  ודחתה </w:t>
      </w:r>
      <w:r w:rsidRPr="00707920">
        <w:rPr>
          <w:rFonts w:ascii="David" w:hAnsi="David"/>
        </w:rPr>
        <w:t xml:space="preserve"> </w:t>
      </w:r>
      <w:r w:rsidRPr="00707920">
        <w:rPr>
          <w:rFonts w:ascii="David" w:hAnsi="David"/>
          <w:rtl/>
        </w:rPr>
        <w:t>התנגדות נחרצת</w:t>
      </w:r>
      <w:r w:rsidRPr="00707920">
        <w:rPr>
          <w:rFonts w:ascii="David" w:hAnsi="David"/>
        </w:rPr>
        <w:t xml:space="preserve"> </w:t>
      </w:r>
      <w:r w:rsidRPr="00707920">
        <w:rPr>
          <w:rFonts w:ascii="David" w:hAnsi="David"/>
          <w:rtl/>
        </w:rPr>
        <w:t xml:space="preserve"> לפתיחת הליך. ברם] הדיון עתה הוא </w:t>
      </w:r>
      <w:r w:rsidRPr="00707920">
        <w:rPr>
          <w:rFonts w:ascii="David" w:hAnsi="David"/>
          <w:b/>
          <w:bCs/>
          <w:rtl/>
        </w:rPr>
        <w:t>לאחר</w:t>
      </w:r>
      <w:r w:rsidRPr="00707920">
        <w:rPr>
          <w:rFonts w:ascii="David" w:hAnsi="David"/>
          <w:rtl/>
        </w:rPr>
        <w:t xml:space="preserve"> שהוצגו </w:t>
      </w:r>
      <w:r w:rsidRPr="00707920">
        <w:rPr>
          <w:rFonts w:ascii="David" w:hAnsi="David"/>
        </w:rPr>
        <w:t xml:space="preserve"> </w:t>
      </w:r>
      <w:r w:rsidRPr="00707920">
        <w:rPr>
          <w:rFonts w:ascii="David" w:hAnsi="David"/>
          <w:rtl/>
        </w:rPr>
        <w:t xml:space="preserve"> ממצאים  שבדו"ח הממצאים, ונתונים ע"י הנוגעים בדבר ובכפוף לסמכויות ולאפשרויות החוקיות</w:t>
      </w:r>
      <w:r w:rsidRPr="00707920">
        <w:rPr>
          <w:rFonts w:ascii="David" w:hAnsi="David"/>
        </w:rPr>
        <w:t xml:space="preserve"> </w:t>
      </w:r>
      <w:r w:rsidRPr="00707920">
        <w:rPr>
          <w:rFonts w:ascii="David" w:hAnsi="David"/>
          <w:rtl/>
        </w:rPr>
        <w:t>הקיימות.</w:t>
      </w:r>
    </w:p>
    <w:p w14:paraId="0D5AB552" w14:textId="43BCE18A" w:rsidR="00707920" w:rsidRPr="00707920" w:rsidRDefault="00707920" w:rsidP="000D159D">
      <w:pPr>
        <w:numPr>
          <w:ilvl w:val="0"/>
          <w:numId w:val="2"/>
        </w:numPr>
        <w:ind w:hanging="531"/>
        <w:contextualSpacing/>
        <w:jc w:val="both"/>
        <w:rPr>
          <w:rFonts w:ascii="David" w:hAnsi="David"/>
        </w:rPr>
      </w:pPr>
      <w:r w:rsidRPr="00707920">
        <w:rPr>
          <w:rFonts w:ascii="David" w:hAnsi="David"/>
          <w:u w:val="single"/>
          <w:rtl/>
        </w:rPr>
        <w:t>שנית,</w:t>
      </w:r>
      <w:r w:rsidRPr="00707920">
        <w:rPr>
          <w:rFonts w:ascii="David" w:hAnsi="David"/>
          <w:rtl/>
        </w:rPr>
        <w:t xml:space="preserve">  מבחינת המצב </w:t>
      </w:r>
      <w:r w:rsidRPr="00707920">
        <w:rPr>
          <w:rFonts w:ascii="David" w:hAnsi="David"/>
          <w:b/>
          <w:bCs/>
          <w:rtl/>
        </w:rPr>
        <w:t xml:space="preserve">הרצוי </w:t>
      </w:r>
      <w:r w:rsidRPr="00707920">
        <w:rPr>
          <w:rFonts w:ascii="David" w:hAnsi="David"/>
          <w:b/>
          <w:bCs/>
        </w:rPr>
        <w:t xml:space="preserve"> </w:t>
      </w:r>
      <w:r w:rsidRPr="00707920">
        <w:rPr>
          <w:rFonts w:ascii="David" w:hAnsi="David"/>
          <w:rtl/>
        </w:rPr>
        <w:t>אכן רצוי</w:t>
      </w:r>
      <w:r w:rsidR="000D159D">
        <w:rPr>
          <w:rFonts w:ascii="David" w:hAnsi="David" w:hint="cs"/>
          <w:rtl/>
        </w:rPr>
        <w:t xml:space="preserve"> היה </w:t>
      </w:r>
      <w:r w:rsidRPr="00707920">
        <w:rPr>
          <w:rFonts w:ascii="David" w:hAnsi="David"/>
          <w:rtl/>
        </w:rPr>
        <w:t xml:space="preserve"> שישכילו הגרושות  והיחיד לבצע </w:t>
      </w:r>
      <w:r w:rsidR="00D36CF6">
        <w:rPr>
          <w:rFonts w:ascii="David" w:hAnsi="David" w:hint="cs"/>
          <w:rtl/>
        </w:rPr>
        <w:t xml:space="preserve">וליישם </w:t>
      </w:r>
      <w:r w:rsidRPr="00707920">
        <w:rPr>
          <w:rFonts w:ascii="David" w:hAnsi="David"/>
          <w:rtl/>
        </w:rPr>
        <w:t xml:space="preserve">מאמץ נוסף לפתרון מוסכם  לסכסוך ארוך השנים  לטובת כל הנפשות המעורבות ולחסכון בהליכים נוספים . זאת לאחר שהיחיד לא שילם מזונות לאף אחד מילדיו  פתרון כזה </w:t>
      </w:r>
      <w:r w:rsidRPr="00707920">
        <w:rPr>
          <w:rFonts w:ascii="David" w:hAnsi="David"/>
        </w:rPr>
        <w:t xml:space="preserve"> </w:t>
      </w:r>
      <w:r w:rsidRPr="00707920">
        <w:rPr>
          <w:rFonts w:ascii="David" w:hAnsi="David"/>
          <w:rtl/>
        </w:rPr>
        <w:t xml:space="preserve">עשוי לחסוך עוגמת נפש נוספת  ולא רק טרחה והליכים נוספים </w:t>
      </w:r>
      <w:r w:rsidRPr="00707920">
        <w:rPr>
          <w:rFonts w:ascii="David" w:hAnsi="David"/>
        </w:rPr>
        <w:t xml:space="preserve"> </w:t>
      </w:r>
      <w:r w:rsidRPr="00707920">
        <w:rPr>
          <w:rFonts w:ascii="David" w:hAnsi="David"/>
          <w:rtl/>
        </w:rPr>
        <w:t xml:space="preserve">  הגרושה השניה </w:t>
      </w:r>
      <w:r w:rsidRPr="00707920">
        <w:rPr>
          <w:rFonts w:ascii="David" w:hAnsi="David"/>
        </w:rPr>
        <w:t xml:space="preserve"> </w:t>
      </w:r>
      <w:r w:rsidRPr="00707920">
        <w:rPr>
          <w:rFonts w:ascii="David" w:hAnsi="David"/>
          <w:rtl/>
        </w:rPr>
        <w:t>טוענת שראוי שלא לתקן עוול בעוול, כתבה  "מוכנה המשיבה לעשות ככל שניתן ולהפעיל את כובד משקלה , כדי</w:t>
      </w:r>
      <w:r w:rsidR="00D36CF6">
        <w:rPr>
          <w:rFonts w:ascii="David" w:hAnsi="David" w:hint="cs"/>
          <w:rtl/>
        </w:rPr>
        <w:t xml:space="preserve"> </w:t>
      </w:r>
      <w:r w:rsidRPr="00707920">
        <w:rPr>
          <w:rFonts w:ascii="David" w:hAnsi="David"/>
          <w:rtl/>
        </w:rPr>
        <w:t xml:space="preserve">להפציר בבנה המשותף עם החייב ואת החיב עלצמו לטפל בדבר ולחתור להסדרה עם הנושה "( סעיף 6 ) וראוי כאמור בעמדת הממונה  שתמצא דרך לפתרון המגלם   הבנה גם למצב הגרושה הראשונה </w:t>
      </w:r>
      <w:r w:rsidRPr="00707920">
        <w:rPr>
          <w:rFonts w:ascii="David" w:hAnsi="David"/>
        </w:rPr>
        <w:t xml:space="preserve"> </w:t>
      </w:r>
      <w:r w:rsidR="000D159D">
        <w:rPr>
          <w:rFonts w:ascii="David" w:hAnsi="David" w:hint="cs"/>
          <w:rtl/>
        </w:rPr>
        <w:t>. הם אכן בצעו מאמץ זה וסברתי שהחלטה תייתתר  אבל לבקשתם נתנת</w:t>
      </w:r>
    </w:p>
    <w:p w14:paraId="6BEAB173" w14:textId="7AC18EE7" w:rsidR="00707920" w:rsidRPr="00707920" w:rsidRDefault="00707920" w:rsidP="00707920">
      <w:pPr>
        <w:numPr>
          <w:ilvl w:val="0"/>
          <w:numId w:val="2"/>
        </w:numPr>
        <w:ind w:hanging="531"/>
        <w:contextualSpacing/>
        <w:jc w:val="both"/>
        <w:rPr>
          <w:rFonts w:ascii="David" w:hAnsi="David"/>
        </w:rPr>
      </w:pPr>
      <w:r w:rsidRPr="00707920">
        <w:rPr>
          <w:rFonts w:ascii="David" w:hAnsi="David"/>
          <w:rtl/>
        </w:rPr>
        <w:t>שלישית,</w:t>
      </w:r>
      <w:r w:rsidRPr="00707920">
        <w:rPr>
          <w:rFonts w:ascii="David" w:hAnsi="David"/>
          <w:b/>
          <w:bCs/>
          <w:rtl/>
        </w:rPr>
        <w:t xml:space="preserve"> מכוח הדין המצוי</w:t>
      </w:r>
      <w:r w:rsidRPr="00707920">
        <w:rPr>
          <w:rFonts w:ascii="David" w:hAnsi="David"/>
          <w:rtl/>
        </w:rPr>
        <w:t>, לא ראיתי שניתן להיעתר לבקשת הנאמן לפרק שיתוף  ולפיכך דין הבקשה לפירוק שיתוף לה</w:t>
      </w:r>
      <w:r w:rsidR="000A461F">
        <w:rPr>
          <w:rFonts w:ascii="David" w:hAnsi="David" w:hint="cs"/>
          <w:rtl/>
        </w:rPr>
        <w:t>י</w:t>
      </w:r>
      <w:r w:rsidRPr="00707920">
        <w:rPr>
          <w:rFonts w:ascii="David" w:hAnsi="David"/>
          <w:rtl/>
        </w:rPr>
        <w:t xml:space="preserve">דחות.  </w:t>
      </w:r>
    </w:p>
    <w:p w14:paraId="25A67E7E" w14:textId="77777777" w:rsidR="00707920" w:rsidRPr="00707920" w:rsidRDefault="00707920" w:rsidP="00707920">
      <w:pPr>
        <w:numPr>
          <w:ilvl w:val="1"/>
          <w:numId w:val="2"/>
        </w:numPr>
        <w:suppressLineNumbers/>
        <w:contextualSpacing/>
        <w:jc w:val="both"/>
        <w:rPr>
          <w:rFonts w:ascii="David" w:hAnsi="David"/>
        </w:rPr>
      </w:pPr>
      <w:r w:rsidRPr="00707920">
        <w:rPr>
          <w:rFonts w:ascii="David" w:hAnsi="David"/>
        </w:rPr>
        <w:t xml:space="preserve"> </w:t>
      </w:r>
      <w:r w:rsidRPr="00707920">
        <w:rPr>
          <w:rFonts w:ascii="David" w:hAnsi="David"/>
          <w:rtl/>
        </w:rPr>
        <w:t xml:space="preserve">בשלב זה השאלה העומדת להכרעה היא </w:t>
      </w:r>
      <w:r w:rsidRPr="00707920">
        <w:rPr>
          <w:rFonts w:ascii="David" w:hAnsi="David"/>
        </w:rPr>
        <w:t xml:space="preserve"> </w:t>
      </w:r>
      <w:r w:rsidRPr="00707920">
        <w:rPr>
          <w:rFonts w:ascii="David" w:hAnsi="David"/>
          <w:rtl/>
        </w:rPr>
        <w:t>האם ניתן לפרק שיתוף לבקשת הנאמן המבקש להסתמך על אישור הזכויות המצביע על רישום שנותר על שם היחיד  ובנתונים הקיימים שהוצגו בפתיח  .</w:t>
      </w:r>
    </w:p>
    <w:p w14:paraId="7F4F6908" w14:textId="77777777" w:rsidR="00707920" w:rsidRPr="00707920" w:rsidRDefault="00707920" w:rsidP="00707920">
      <w:pPr>
        <w:numPr>
          <w:ilvl w:val="1"/>
          <w:numId w:val="2"/>
        </w:numPr>
        <w:contextualSpacing/>
        <w:jc w:val="both"/>
        <w:rPr>
          <w:rFonts w:ascii="David" w:hAnsi="David"/>
        </w:rPr>
      </w:pPr>
      <w:r w:rsidRPr="00707920">
        <w:rPr>
          <w:rFonts w:ascii="David" w:hAnsi="David"/>
        </w:rPr>
        <w:t xml:space="preserve"> </w:t>
      </w:r>
      <w:r w:rsidRPr="00707920">
        <w:rPr>
          <w:rFonts w:ascii="David" w:hAnsi="David"/>
          <w:rtl/>
        </w:rPr>
        <w:t>בהקשר זה ,</w:t>
      </w:r>
      <w:r w:rsidRPr="00707920">
        <w:rPr>
          <w:rFonts w:ascii="David" w:hAnsi="David"/>
          <w:b/>
          <w:bCs/>
          <w:rtl/>
        </w:rPr>
        <w:t xml:space="preserve"> על יסוד הנתונים שבפני היחיד אינו רשאי לטעון להיותו שותף בנכס או לזכות שמכוחה יחיד רשאי היה כשלעצמו לבקש פירוק שיתוף .</w:t>
      </w:r>
      <w:r w:rsidRPr="00707920">
        <w:rPr>
          <w:rFonts w:ascii="David" w:hAnsi="David"/>
          <w:rtl/>
        </w:rPr>
        <w:t xml:space="preserve">  זאת לנוכח החלטת כב' השופט שפסר בפסק הדין שהורה על רישום זכויות על שם הגרושה השנייה</w:t>
      </w:r>
      <w:r w:rsidRPr="00707920">
        <w:rPr>
          <w:rFonts w:ascii="David" w:hAnsi="David"/>
        </w:rPr>
        <w:t xml:space="preserve"> </w:t>
      </w:r>
      <w:r w:rsidRPr="00707920">
        <w:rPr>
          <w:rFonts w:ascii="David" w:hAnsi="David"/>
          <w:rtl/>
        </w:rPr>
        <w:t xml:space="preserve">(בה"פ 68985-05-18  </w:t>
      </w:r>
      <w:r w:rsidRPr="00707920">
        <w:rPr>
          <w:rFonts w:ascii="David" w:hAnsi="David"/>
        </w:rPr>
        <w:t xml:space="preserve"> </w:t>
      </w:r>
      <w:r w:rsidRPr="00707920">
        <w:rPr>
          <w:rFonts w:ascii="David" w:hAnsi="David"/>
          <w:rtl/>
        </w:rPr>
        <w:t xml:space="preserve">)     </w:t>
      </w:r>
    </w:p>
    <w:p w14:paraId="247D6021" w14:textId="77777777" w:rsidR="00707920" w:rsidRPr="00707920" w:rsidRDefault="00707920" w:rsidP="00707920">
      <w:pPr>
        <w:numPr>
          <w:ilvl w:val="1"/>
          <w:numId w:val="2"/>
        </w:numPr>
        <w:contextualSpacing/>
        <w:jc w:val="both"/>
        <w:rPr>
          <w:rFonts w:ascii="David" w:hAnsi="David"/>
        </w:rPr>
      </w:pPr>
      <w:r w:rsidRPr="00707920">
        <w:rPr>
          <w:rFonts w:ascii="David" w:hAnsi="David"/>
          <w:rtl/>
        </w:rPr>
        <w:t xml:space="preserve">לפיכך,  לא ניתן להסמיך נאמן , לפעולה שהיחיד עצמו לא היה רשאי לעשותה ומכוח הטענה לזכות היחיד בנכס   </w:t>
      </w:r>
    </w:p>
    <w:p w14:paraId="78DD8E27" w14:textId="77777777" w:rsidR="00707920" w:rsidRPr="00707920" w:rsidRDefault="00707920" w:rsidP="00707920">
      <w:pPr>
        <w:numPr>
          <w:ilvl w:val="1"/>
          <w:numId w:val="2"/>
        </w:numPr>
        <w:contextualSpacing/>
        <w:jc w:val="both"/>
        <w:rPr>
          <w:rFonts w:ascii="David" w:hAnsi="David"/>
        </w:rPr>
      </w:pPr>
      <w:r w:rsidRPr="00707920">
        <w:rPr>
          <w:rFonts w:ascii="David" w:hAnsi="David"/>
          <w:rtl/>
        </w:rPr>
        <w:t xml:space="preserve">לנוכח הנסיבות המיוחדות של המקרה לא ראיתי להטיל צו להוצאות נגד הגרושה הראשונה </w:t>
      </w:r>
    </w:p>
    <w:p w14:paraId="66A368E6" w14:textId="77777777" w:rsidR="00707920" w:rsidRPr="00707920" w:rsidRDefault="00707920" w:rsidP="00707920">
      <w:pPr>
        <w:numPr>
          <w:ilvl w:val="0"/>
          <w:numId w:val="2"/>
        </w:numPr>
        <w:ind w:hanging="531"/>
        <w:contextualSpacing/>
        <w:jc w:val="both"/>
        <w:rPr>
          <w:rFonts w:ascii="David" w:hAnsi="David"/>
        </w:rPr>
      </w:pPr>
      <w:r w:rsidRPr="00707920">
        <w:rPr>
          <w:rFonts w:ascii="David" w:hAnsi="David"/>
          <w:rtl/>
        </w:rPr>
        <w:t xml:space="preserve">די באמור לעיל להכריע בשאלה שעל הפרק . אולם, למעלה מהנחוץ להכרעה בשאלה , אך ובשים לב לטענות ההדדיות,  </w:t>
      </w:r>
      <w:r w:rsidRPr="00707920">
        <w:rPr>
          <w:rFonts w:ascii="David" w:hAnsi="David"/>
        </w:rPr>
        <w:t xml:space="preserve"> </w:t>
      </w:r>
      <w:r w:rsidRPr="00707920">
        <w:rPr>
          <w:rFonts w:ascii="David" w:hAnsi="David"/>
          <w:rtl/>
        </w:rPr>
        <w:t>ולטובת מגעים בין הצדדים , אתייחס לנקודות  הנוספות הבאות:</w:t>
      </w:r>
    </w:p>
    <w:p w14:paraId="25FC2DC7" w14:textId="77777777" w:rsidR="00707920" w:rsidRPr="00707920" w:rsidRDefault="00707920" w:rsidP="00707920">
      <w:pPr>
        <w:numPr>
          <w:ilvl w:val="1"/>
          <w:numId w:val="2"/>
        </w:numPr>
        <w:contextualSpacing/>
        <w:jc w:val="both"/>
        <w:rPr>
          <w:rFonts w:ascii="David" w:hAnsi="David"/>
        </w:rPr>
      </w:pPr>
      <w:r w:rsidRPr="00707920">
        <w:rPr>
          <w:rFonts w:ascii="David" w:hAnsi="David"/>
          <w:rtl/>
        </w:rPr>
        <w:t xml:space="preserve"> </w:t>
      </w:r>
      <w:r w:rsidRPr="00707920">
        <w:rPr>
          <w:rFonts w:ascii="David" w:hAnsi="David" w:hint="cs"/>
          <w:rtl/>
        </w:rPr>
        <w:t xml:space="preserve">לטובת הגרושה הראשונה, אכן קיים  עיקול המוקדם  לפסק הבוררות ומקובל עלי שעיקול הקודם הזה גובר על הסכם נוגד </w:t>
      </w:r>
      <w:r w:rsidRPr="00707920">
        <w:rPr>
          <w:rFonts w:ascii="David" w:hAnsi="David"/>
        </w:rPr>
        <w:t xml:space="preserve"> </w:t>
      </w:r>
      <w:r w:rsidRPr="00707920">
        <w:rPr>
          <w:rFonts w:ascii="David" w:hAnsi="David"/>
          <w:rtl/>
        </w:rPr>
        <w:t xml:space="preserve">מאוחר ואף על הסכמת היחיד  לאישור פסק הבורר  בהליך שהגרושה לא הייתה לו צד. הלכת </w:t>
      </w:r>
      <w:r w:rsidRPr="00707920">
        <w:rPr>
          <w:rFonts w:ascii="David" w:hAnsi="David"/>
          <w:b/>
          <w:bCs/>
          <w:rtl/>
        </w:rPr>
        <w:t xml:space="preserve">אהרונוב </w:t>
      </w:r>
      <w:r w:rsidRPr="00707920">
        <w:rPr>
          <w:rFonts w:ascii="David" w:hAnsi="David"/>
          <w:rtl/>
        </w:rPr>
        <w:t xml:space="preserve"> לא גורעת מכך ולמעשה המצב קרוב יותר </w:t>
      </w:r>
      <w:r w:rsidRPr="00707920">
        <w:rPr>
          <w:rFonts w:ascii="David" w:hAnsi="David"/>
          <w:b/>
          <w:bCs/>
          <w:rtl/>
        </w:rPr>
        <w:t xml:space="preserve"> לענין ברוקס. </w:t>
      </w:r>
      <w:r w:rsidRPr="00707920">
        <w:rPr>
          <w:rFonts w:ascii="David" w:hAnsi="David"/>
        </w:rPr>
        <w:t xml:space="preserve"> </w:t>
      </w:r>
      <w:r w:rsidRPr="00707920">
        <w:rPr>
          <w:rFonts w:ascii="David" w:hAnsi="David"/>
          <w:rtl/>
        </w:rPr>
        <w:t xml:space="preserve">העיקול הינו כשלעצמו "כלי דיוני, ולפיכך אינו מקנה לגרושה הראשונה ,זכות מהותית בנכס . עם זאת מדובר בכלי חשוב מבחינה כלכלית. </w:t>
      </w:r>
    </w:p>
    <w:p w14:paraId="5674E630" w14:textId="77777777" w:rsidR="00707920" w:rsidRPr="00707920" w:rsidRDefault="00707920" w:rsidP="00707920">
      <w:pPr>
        <w:numPr>
          <w:ilvl w:val="1"/>
          <w:numId w:val="2"/>
        </w:numPr>
        <w:contextualSpacing/>
        <w:jc w:val="both"/>
        <w:rPr>
          <w:rFonts w:ascii="David" w:hAnsi="David"/>
        </w:rPr>
      </w:pPr>
      <w:r w:rsidRPr="00707920">
        <w:rPr>
          <w:rFonts w:ascii="David" w:hAnsi="David"/>
          <w:rtl/>
        </w:rPr>
        <w:t xml:space="preserve">לא ראיתי שבכוח פסק הבוררות  כשלעצמו, התקף כלפי הצדדים לו,   להקים מעשה בית דין   כלפי הגרושה הראשונה שלא הייתה צד לו  .גם פסק הדין בהמרצת הפתיחה שהגישה הגרושה הראשונה  לביטול פסק הבורר לא חוסם אותה משום תוצאת המחיקה וההנמקה כשלעצמה מצביעה על העדר סופיות  . </w:t>
      </w:r>
    </w:p>
    <w:p w14:paraId="5DAF906F" w14:textId="77777777" w:rsidR="00707920" w:rsidRPr="00707920" w:rsidRDefault="00707920" w:rsidP="00707920">
      <w:pPr>
        <w:numPr>
          <w:ilvl w:val="1"/>
          <w:numId w:val="2"/>
        </w:numPr>
        <w:contextualSpacing/>
        <w:jc w:val="both"/>
        <w:rPr>
          <w:rFonts w:ascii="David" w:hAnsi="David"/>
        </w:rPr>
      </w:pPr>
      <w:r w:rsidRPr="00707920">
        <w:rPr>
          <w:rFonts w:ascii="David" w:hAnsi="David"/>
          <w:rtl/>
        </w:rPr>
        <w:t xml:space="preserve">יתירה מכך לא מצאתי חל השתק שיפוטי. </w:t>
      </w:r>
    </w:p>
    <w:p w14:paraId="3344D9BA" w14:textId="77777777" w:rsidR="00707920" w:rsidRPr="00707920" w:rsidRDefault="00707920" w:rsidP="00707920">
      <w:pPr>
        <w:numPr>
          <w:ilvl w:val="1"/>
          <w:numId w:val="2"/>
        </w:numPr>
        <w:contextualSpacing/>
        <w:jc w:val="both"/>
        <w:rPr>
          <w:rFonts w:ascii="David" w:hAnsi="David"/>
        </w:rPr>
      </w:pPr>
      <w:r w:rsidRPr="00707920">
        <w:rPr>
          <w:rFonts w:ascii="David" w:hAnsi="David"/>
          <w:rtl/>
        </w:rPr>
        <w:t xml:space="preserve"> חזית הדיון לפני היא בשאלת פירוק השיתוף </w:t>
      </w:r>
      <w:r w:rsidRPr="00707920">
        <w:rPr>
          <w:rFonts w:ascii="David" w:hAnsi="David"/>
        </w:rPr>
        <w:t xml:space="preserve"> </w:t>
      </w:r>
      <w:r w:rsidRPr="00707920">
        <w:rPr>
          <w:rFonts w:ascii="David" w:hAnsi="David"/>
          <w:rtl/>
        </w:rPr>
        <w:t xml:space="preserve">ואין מדובר בדיון  לפי סעיף 220 לחוק, בטענות  לחוסר תום לב מצד היחיד או הגרושה בגין העברה שבוצעה  לפי הנטען כבר בשנת 2000 </w:t>
      </w:r>
      <w:r w:rsidRPr="00707920">
        <w:rPr>
          <w:rFonts w:ascii="David" w:hAnsi="David"/>
        </w:rPr>
        <w:t xml:space="preserve"> </w:t>
      </w:r>
      <w:r w:rsidRPr="00707920">
        <w:rPr>
          <w:rFonts w:ascii="David" w:hAnsi="David"/>
          <w:rtl/>
        </w:rPr>
        <w:t>בפסק הבורר .</w:t>
      </w:r>
    </w:p>
    <w:p w14:paraId="73618185" w14:textId="77777777" w:rsidR="00707920" w:rsidRPr="00707920" w:rsidRDefault="00707920" w:rsidP="00707920">
      <w:pPr>
        <w:numPr>
          <w:ilvl w:val="1"/>
          <w:numId w:val="2"/>
        </w:numPr>
        <w:contextualSpacing/>
        <w:jc w:val="both"/>
        <w:rPr>
          <w:rFonts w:ascii="David" w:hAnsi="David"/>
        </w:rPr>
      </w:pPr>
      <w:r w:rsidRPr="00707920">
        <w:rPr>
          <w:rFonts w:ascii="David" w:hAnsi="David"/>
          <w:rtl/>
        </w:rPr>
        <w:t xml:space="preserve">בשולי הדברים אקדים ואציין שראיתי  קושי  ו"מלאכותיות" בטענות היחיד  על  נסיבות כלכליות אישיות כשוללות, את עצם  פירוק שיתוף במכר( אף לא בהסכמה)  .עולה מעמדת הנאמן ששווי הנכס גבוה במליונים מגובה החוב לגרושה הראשונה ולפיך פירוק שיתוף עשוי להיטיב  מבחינה כלכלית את מצבו . זאת אף אם  מבחינה אישית </w:t>
      </w:r>
      <w:r w:rsidRPr="00707920">
        <w:rPr>
          <w:rFonts w:ascii="David" w:hAnsi="David"/>
        </w:rPr>
        <w:t xml:space="preserve"> </w:t>
      </w:r>
      <w:r w:rsidRPr="00707920">
        <w:rPr>
          <w:rFonts w:ascii="David" w:hAnsi="David"/>
          <w:rtl/>
        </w:rPr>
        <w:t>בגילו ומצבו  הבריאותי,</w:t>
      </w:r>
      <w:r w:rsidRPr="00707920">
        <w:rPr>
          <w:rFonts w:ascii="David" w:hAnsi="David"/>
        </w:rPr>
        <w:t xml:space="preserve"> </w:t>
      </w:r>
      <w:r w:rsidRPr="00707920">
        <w:rPr>
          <w:rFonts w:ascii="David" w:hAnsi="David"/>
          <w:rtl/>
        </w:rPr>
        <w:t xml:space="preserve">שצוינו בדו"ח הממצאים  יתכן שהיחיד מעדיף </w:t>
      </w:r>
      <w:r w:rsidRPr="00707920">
        <w:rPr>
          <w:rFonts w:ascii="David" w:hAnsi="David"/>
        </w:rPr>
        <w:t xml:space="preserve"> </w:t>
      </w:r>
      <w:r w:rsidRPr="00707920">
        <w:rPr>
          <w:rFonts w:ascii="David" w:hAnsi="David"/>
          <w:rtl/>
        </w:rPr>
        <w:t xml:space="preserve">להמנע משינוי ,בעידן זה בחייו .לפיכך </w:t>
      </w:r>
      <w:r w:rsidRPr="00707920">
        <w:rPr>
          <w:rFonts w:ascii="David" w:hAnsi="David"/>
        </w:rPr>
        <w:t xml:space="preserve"> </w:t>
      </w:r>
      <w:r w:rsidRPr="00707920">
        <w:rPr>
          <w:rFonts w:ascii="David" w:hAnsi="David"/>
          <w:rtl/>
        </w:rPr>
        <w:t>הניסיון שאליו הפנה הממונה לפשרה היה ועודנו מבורך אף אם בשלב זה לא צלח  גם מטעמי שלום המשפחה בכללותה .</w:t>
      </w:r>
      <w:r w:rsidRPr="00707920">
        <w:rPr>
          <w:rFonts w:ascii="David" w:hAnsi="David"/>
        </w:rPr>
        <w:t xml:space="preserve"> </w:t>
      </w:r>
      <w:r w:rsidRPr="00707920">
        <w:rPr>
          <w:rFonts w:ascii="David" w:hAnsi="David"/>
          <w:rtl/>
        </w:rPr>
        <w:t xml:space="preserve"> </w:t>
      </w:r>
      <w:r w:rsidRPr="00707920">
        <w:rPr>
          <w:rFonts w:ascii="David" w:hAnsi="David"/>
        </w:rPr>
        <w:t xml:space="preserve"> </w:t>
      </w:r>
      <w:r w:rsidRPr="00707920">
        <w:rPr>
          <w:rFonts w:ascii="David" w:hAnsi="David"/>
          <w:rtl/>
        </w:rPr>
        <w:t xml:space="preserve">  </w:t>
      </w:r>
    </w:p>
    <w:p w14:paraId="7EB2BA0F" w14:textId="77777777" w:rsidR="00707920" w:rsidRPr="00707920" w:rsidRDefault="00707920" w:rsidP="00707920">
      <w:pPr>
        <w:ind w:left="1080"/>
        <w:contextualSpacing/>
        <w:jc w:val="both"/>
        <w:rPr>
          <w:rFonts w:ascii="David" w:hAnsi="David"/>
        </w:rPr>
      </w:pPr>
    </w:p>
    <w:p w14:paraId="2998BD46" w14:textId="77777777" w:rsidR="00707920" w:rsidRPr="00707920" w:rsidRDefault="00707920" w:rsidP="00707920">
      <w:pPr>
        <w:numPr>
          <w:ilvl w:val="0"/>
          <w:numId w:val="2"/>
        </w:numPr>
        <w:ind w:hanging="531"/>
        <w:contextualSpacing/>
        <w:jc w:val="both"/>
        <w:rPr>
          <w:rFonts w:ascii="David" w:hAnsi="David"/>
          <w:rtl/>
        </w:rPr>
      </w:pPr>
      <w:r w:rsidRPr="00707920">
        <w:rPr>
          <w:rFonts w:ascii="David" w:hAnsi="David"/>
          <w:rtl/>
        </w:rPr>
        <w:t>להלן יובאו הנימוקים להכרעה  .</w:t>
      </w:r>
    </w:p>
    <w:p w14:paraId="63A1E897" w14:textId="77777777" w:rsidR="00707920" w:rsidRPr="00707920" w:rsidRDefault="00707920" w:rsidP="00707920">
      <w:pPr>
        <w:pStyle w:val="1"/>
        <w:rPr>
          <w:rFonts w:ascii="David" w:hAnsi="David" w:cs="David"/>
          <w:b/>
          <w:bCs/>
          <w:rtl/>
        </w:rPr>
      </w:pPr>
      <w:bookmarkStart w:id="22" w:name="_Toc168898769"/>
      <w:r>
        <w:rPr>
          <w:rFonts w:ascii="David" w:hAnsi="David" w:cs="David" w:hint="cs"/>
          <w:b/>
          <w:bCs/>
          <w:rtl/>
        </w:rPr>
        <w:lastRenderedPageBreak/>
        <w:t>ה</w:t>
      </w:r>
      <w:r w:rsidRPr="00707920">
        <w:rPr>
          <w:rFonts w:ascii="David" w:hAnsi="David" w:cs="David"/>
          <w:b/>
          <w:bCs/>
          <w:rtl/>
        </w:rPr>
        <w:t>. הנימוקים להכרעה</w:t>
      </w:r>
      <w:bookmarkEnd w:id="22"/>
      <w:r w:rsidRPr="00707920">
        <w:rPr>
          <w:rFonts w:ascii="David" w:hAnsi="David" w:cs="David"/>
          <w:b/>
          <w:bCs/>
          <w:rtl/>
        </w:rPr>
        <w:t xml:space="preserve"> </w:t>
      </w:r>
    </w:p>
    <w:p w14:paraId="5564D19B" w14:textId="77777777" w:rsidR="00707920" w:rsidRPr="00707920" w:rsidRDefault="00707920" w:rsidP="00707920">
      <w:pPr>
        <w:pStyle w:val="3"/>
        <w:rPr>
          <w:rFonts w:ascii="David" w:hAnsi="David" w:cs="David"/>
          <w:rtl/>
        </w:rPr>
      </w:pPr>
      <w:r w:rsidRPr="00707920">
        <w:rPr>
          <w:rFonts w:ascii="David" w:hAnsi="David" w:cs="David"/>
          <w:rtl/>
        </w:rPr>
        <w:t xml:space="preserve"> </w:t>
      </w:r>
    </w:p>
    <w:p w14:paraId="17C9FE9A" w14:textId="77777777" w:rsidR="00707920" w:rsidRPr="00707920" w:rsidRDefault="00707920" w:rsidP="00707920">
      <w:pPr>
        <w:pStyle w:val="3"/>
        <w:rPr>
          <w:rFonts w:ascii="David" w:hAnsi="David" w:cs="David"/>
        </w:rPr>
      </w:pPr>
      <w:bookmarkStart w:id="23" w:name="_Toc168898770"/>
      <w:r w:rsidRPr="00707920">
        <w:rPr>
          <w:rFonts w:ascii="David" w:hAnsi="David" w:cs="David"/>
          <w:rtl/>
        </w:rPr>
        <w:t>ה(1) המסגרת הנורמטיבית  -</w:t>
      </w:r>
      <w:bookmarkEnd w:id="23"/>
    </w:p>
    <w:p w14:paraId="3B3924E0" w14:textId="77777777" w:rsidR="00707920" w:rsidRPr="00707920" w:rsidRDefault="00707920" w:rsidP="00707920">
      <w:pPr>
        <w:pStyle w:val="2"/>
        <w:rPr>
          <w:rFonts w:ascii="David" w:hAnsi="David" w:cs="David"/>
          <w:rtl/>
        </w:rPr>
      </w:pPr>
      <w:r w:rsidRPr="00707920">
        <w:rPr>
          <w:rFonts w:ascii="David" w:hAnsi="David" w:cs="David"/>
          <w:rtl/>
        </w:rPr>
        <w:t xml:space="preserve"> </w:t>
      </w:r>
    </w:p>
    <w:p w14:paraId="1A48716E" w14:textId="77777777" w:rsidR="00707920" w:rsidRPr="00707920" w:rsidRDefault="00707920" w:rsidP="00707920">
      <w:pPr>
        <w:numPr>
          <w:ilvl w:val="0"/>
          <w:numId w:val="2"/>
        </w:numPr>
        <w:ind w:hanging="531"/>
        <w:contextualSpacing/>
        <w:jc w:val="both"/>
        <w:rPr>
          <w:rFonts w:ascii="David" w:hAnsi="David"/>
        </w:rPr>
      </w:pPr>
      <w:r w:rsidRPr="00707920">
        <w:rPr>
          <w:rFonts w:ascii="David" w:hAnsi="David"/>
          <w:rtl/>
        </w:rPr>
        <w:t>על המקרה דנן  חולשת המסגרת הנורמטיבית המעוגנת בדיני חדלות הפירעון ,בדיני הקנין ובדיני החוזים.</w:t>
      </w:r>
    </w:p>
    <w:p w14:paraId="68344A72" w14:textId="77777777" w:rsidR="00707920" w:rsidRPr="00707920" w:rsidRDefault="00707920" w:rsidP="00707920">
      <w:pPr>
        <w:numPr>
          <w:ilvl w:val="0"/>
          <w:numId w:val="2"/>
        </w:numPr>
        <w:ind w:hanging="531"/>
        <w:contextualSpacing/>
        <w:jc w:val="both"/>
        <w:rPr>
          <w:rFonts w:ascii="David" w:hAnsi="David"/>
        </w:rPr>
      </w:pPr>
      <w:r w:rsidRPr="00707920">
        <w:rPr>
          <w:rFonts w:ascii="David" w:hAnsi="David"/>
          <w:rtl/>
        </w:rPr>
        <w:t xml:space="preserve">בגדר המסגרת הנורמטיבית, אפנה בראש וראשונה לס' 131 </w:t>
      </w:r>
      <w:r w:rsidRPr="00707920">
        <w:rPr>
          <w:rFonts w:ascii="David" w:hAnsi="David"/>
          <w:b/>
          <w:bCs/>
          <w:rtl/>
        </w:rPr>
        <w:t>לחוק חדלות פירעון</w:t>
      </w:r>
      <w:r w:rsidRPr="00707920">
        <w:rPr>
          <w:rFonts w:ascii="David" w:hAnsi="David"/>
          <w:rtl/>
        </w:rPr>
        <w:t xml:space="preserve">  שמכוחו פועל הנאמן  אך גם לס'   10(א) ו-13 </w:t>
      </w:r>
      <w:r w:rsidRPr="00707920">
        <w:rPr>
          <w:rFonts w:ascii="David" w:hAnsi="David"/>
          <w:b/>
          <w:bCs/>
          <w:rtl/>
        </w:rPr>
        <w:t>לחוק המיטלטלין, התשל"א-</w:t>
      </w:r>
      <w:r w:rsidRPr="00707920">
        <w:rPr>
          <w:rFonts w:ascii="David" w:hAnsi="David"/>
          <w:rtl/>
        </w:rPr>
        <w:t xml:space="preserve">1971( להלן:: </w:t>
      </w:r>
      <w:r w:rsidRPr="00707920">
        <w:rPr>
          <w:rFonts w:ascii="David" w:hAnsi="David"/>
          <w:b/>
          <w:bCs/>
          <w:rtl/>
        </w:rPr>
        <w:t>חוק המיטלטלין</w:t>
      </w:r>
      <w:r w:rsidRPr="00707920">
        <w:rPr>
          <w:rFonts w:ascii="David" w:hAnsi="David"/>
          <w:rtl/>
        </w:rPr>
        <w:t xml:space="preserve">")  העוסקים בפירוק השיתוף בזכויות שאינן רשומות ובדומה לס'  37 (א) </w:t>
      </w:r>
      <w:r w:rsidRPr="00707920">
        <w:rPr>
          <w:rFonts w:ascii="David" w:hAnsi="David"/>
          <w:b/>
          <w:bCs/>
          <w:rtl/>
        </w:rPr>
        <w:t>לחוק המקרקעין התשכ"ט</w:t>
      </w:r>
      <w:r w:rsidRPr="00707920">
        <w:rPr>
          <w:rFonts w:ascii="David" w:hAnsi="David"/>
          <w:rtl/>
        </w:rPr>
        <w:t xml:space="preserve"> -1969 ( להלן:" </w:t>
      </w:r>
      <w:r w:rsidRPr="00707920">
        <w:rPr>
          <w:rFonts w:ascii="David" w:hAnsi="David"/>
          <w:b/>
          <w:bCs/>
          <w:rtl/>
        </w:rPr>
        <w:t>חוק המקרקעין</w:t>
      </w:r>
      <w:r w:rsidRPr="00707920">
        <w:rPr>
          <w:rFonts w:ascii="David" w:hAnsi="David"/>
          <w:rtl/>
        </w:rPr>
        <w:t xml:space="preserve">") . בנוסף על רקע ההליכים והצו שניתן בבית המשפט המחוזי אפנה  </w:t>
      </w:r>
      <w:r w:rsidRPr="00707920">
        <w:rPr>
          <w:rFonts w:ascii="David" w:hAnsi="David"/>
          <w:b/>
          <w:bCs/>
          <w:rtl/>
        </w:rPr>
        <w:t xml:space="preserve">לס'  75 לחוק בתי המשפט נוסח משולב </w:t>
      </w:r>
      <w:r w:rsidRPr="00707920">
        <w:rPr>
          <w:rFonts w:ascii="David" w:hAnsi="David"/>
          <w:rtl/>
        </w:rPr>
        <w:t xml:space="preserve">התשמ"ד-1984 ( להלן:" </w:t>
      </w:r>
      <w:r w:rsidRPr="00707920">
        <w:rPr>
          <w:rFonts w:ascii="David" w:hAnsi="David"/>
          <w:b/>
          <w:bCs/>
          <w:rtl/>
        </w:rPr>
        <w:t>חוק בתי המשפט</w:t>
      </w:r>
      <w:r w:rsidRPr="00707920">
        <w:rPr>
          <w:rFonts w:ascii="David" w:hAnsi="David"/>
          <w:rtl/>
        </w:rPr>
        <w:t xml:space="preserve">") כמובן שגם על מקרה זה חל </w:t>
      </w:r>
      <w:r w:rsidRPr="00707920">
        <w:rPr>
          <w:rFonts w:ascii="David" w:hAnsi="David"/>
          <w:b/>
          <w:bCs/>
          <w:rtl/>
        </w:rPr>
        <w:t>עקרון תום הלב</w:t>
      </w:r>
      <w:r w:rsidRPr="00707920">
        <w:rPr>
          <w:rFonts w:ascii="David" w:hAnsi="David"/>
          <w:b/>
          <w:bCs/>
        </w:rPr>
        <w:t xml:space="preserve">  </w:t>
      </w:r>
      <w:r w:rsidRPr="00707920">
        <w:rPr>
          <w:rFonts w:ascii="David" w:hAnsi="David"/>
          <w:b/>
          <w:bCs/>
          <w:rtl/>
        </w:rPr>
        <w:t xml:space="preserve">  </w:t>
      </w:r>
      <w:r w:rsidRPr="00707920">
        <w:rPr>
          <w:rFonts w:ascii="David" w:hAnsi="David"/>
          <w:rtl/>
        </w:rPr>
        <w:t xml:space="preserve">מכוח צירוף    הסעיפים  39 ו 61(ב) </w:t>
      </w:r>
      <w:r w:rsidRPr="00707920">
        <w:rPr>
          <w:rFonts w:ascii="David" w:hAnsi="David"/>
          <w:b/>
          <w:bCs/>
          <w:rtl/>
        </w:rPr>
        <w:t>ל</w:t>
      </w:r>
      <w:r w:rsidRPr="00707920">
        <w:rPr>
          <w:rFonts w:ascii="David" w:hAnsi="David"/>
          <w:b/>
          <w:bCs/>
        </w:rPr>
        <w:t>  </w:t>
      </w:r>
      <w:r w:rsidRPr="00707920">
        <w:rPr>
          <w:rFonts w:ascii="David" w:hAnsi="David"/>
          <w:b/>
          <w:bCs/>
          <w:rtl/>
        </w:rPr>
        <w:t>חוק החוזים (חלק כללי</w:t>
      </w:r>
      <w:r w:rsidRPr="00707920">
        <w:rPr>
          <w:rFonts w:ascii="David" w:hAnsi="David"/>
          <w:rtl/>
        </w:rPr>
        <w:t>)</w:t>
      </w:r>
      <w:r w:rsidRPr="00707920">
        <w:rPr>
          <w:rFonts w:ascii="David" w:hAnsi="David"/>
        </w:rPr>
        <w:t xml:space="preserve">, </w:t>
      </w:r>
      <w:r w:rsidRPr="00707920">
        <w:rPr>
          <w:rFonts w:ascii="David" w:hAnsi="David"/>
          <w:rtl/>
        </w:rPr>
        <w:t>תשל"ג- 1973</w:t>
      </w:r>
      <w:r w:rsidRPr="00707920">
        <w:rPr>
          <w:rFonts w:ascii="David" w:hAnsi="David"/>
        </w:rPr>
        <w:t xml:space="preserve">,) </w:t>
      </w:r>
      <w:r w:rsidRPr="00707920">
        <w:rPr>
          <w:rFonts w:ascii="David" w:hAnsi="David"/>
          <w:rtl/>
        </w:rPr>
        <w:t>להלן:"</w:t>
      </w:r>
      <w:r w:rsidRPr="00707920">
        <w:rPr>
          <w:rFonts w:ascii="David" w:hAnsi="David"/>
          <w:b/>
          <w:bCs/>
          <w:rtl/>
        </w:rPr>
        <w:t>חוק החוזים הכללי " )</w:t>
      </w:r>
      <w:r w:rsidRPr="00707920">
        <w:rPr>
          <w:rFonts w:ascii="David" w:hAnsi="David"/>
          <w:rtl/>
        </w:rPr>
        <w:t xml:space="preserve"> .</w:t>
      </w:r>
    </w:p>
    <w:p w14:paraId="3918EE2D" w14:textId="77777777" w:rsidR="00707920" w:rsidRPr="00707920" w:rsidRDefault="00707920" w:rsidP="00707920">
      <w:pPr>
        <w:pStyle w:val="3"/>
        <w:rPr>
          <w:rFonts w:ascii="David" w:hAnsi="David" w:cs="David"/>
        </w:rPr>
      </w:pPr>
      <w:bookmarkStart w:id="24" w:name="_Toc168898771"/>
      <w:r w:rsidRPr="00707920">
        <w:rPr>
          <w:rFonts w:ascii="David" w:hAnsi="David" w:cs="David"/>
          <w:rtl/>
        </w:rPr>
        <w:t>ה(2) מהמסגרת הנורמטיבית היחיד עולה שהיחיד לא שותף בנכס , ושהנאמן אינו יכול לבקש פירוק שיתוף שהיחיד עצמו וגם הגרושה אינם רשאים לבקש</w:t>
      </w:r>
      <w:bookmarkEnd w:id="24"/>
      <w:r w:rsidRPr="00707920">
        <w:rPr>
          <w:rFonts w:ascii="David" w:hAnsi="David" w:cs="David"/>
          <w:rtl/>
        </w:rPr>
        <w:t xml:space="preserve"> </w:t>
      </w:r>
      <w:r w:rsidRPr="00707920">
        <w:rPr>
          <w:rFonts w:ascii="David" w:hAnsi="David" w:cs="David"/>
        </w:rPr>
        <w:t xml:space="preserve"> </w:t>
      </w:r>
    </w:p>
    <w:p w14:paraId="0C760A5E" w14:textId="77777777" w:rsidR="00707920" w:rsidRPr="00707920" w:rsidRDefault="00707920" w:rsidP="00707920">
      <w:pPr>
        <w:numPr>
          <w:ilvl w:val="0"/>
          <w:numId w:val="2"/>
        </w:numPr>
        <w:ind w:hanging="531"/>
        <w:contextualSpacing/>
        <w:jc w:val="both"/>
        <w:rPr>
          <w:rFonts w:ascii="David" w:hAnsi="David"/>
          <w:rtl/>
        </w:rPr>
      </w:pPr>
      <w:r w:rsidRPr="00707920">
        <w:rPr>
          <w:rFonts w:ascii="David" w:hAnsi="David"/>
          <w:rtl/>
        </w:rPr>
        <w:t>אפתח ואזכיר ש</w:t>
      </w:r>
      <w:r w:rsidRPr="00707920">
        <w:rPr>
          <w:rFonts w:ascii="David" w:hAnsi="David"/>
          <w:b/>
          <w:bCs/>
          <w:rtl/>
        </w:rPr>
        <w:t xml:space="preserve">ס' 131 לחוק </w:t>
      </w:r>
      <w:r w:rsidRPr="00707920">
        <w:rPr>
          <w:rFonts w:ascii="David" w:hAnsi="David"/>
          <w:rtl/>
        </w:rPr>
        <w:t xml:space="preserve"> שכותרתו, היא "הקניית סמכויות היחיד בנכסי קופת הנשייה לנאמן " קובע כי " הנאמן מוסמך לשם מילוי תפקידו לבצע כל פעולה בנכסי קופת הנשייה </w:t>
      </w:r>
      <w:r w:rsidRPr="00707920">
        <w:rPr>
          <w:rFonts w:ascii="David" w:hAnsi="David"/>
          <w:b/>
          <w:bCs/>
          <w:u w:val="single"/>
          <w:rtl/>
        </w:rPr>
        <w:t>שהיחיד היה רשאי לעשותה</w:t>
      </w:r>
      <w:r w:rsidRPr="00707920">
        <w:rPr>
          <w:rFonts w:ascii="David" w:hAnsi="David"/>
          <w:rtl/>
        </w:rPr>
        <w:t xml:space="preserve">, וממועד מינויו של הנאמן היחיד אינו מוסמך לבצע פעולות כאמור, אלא באישור מראש מאת הנאמן; אישור כאמור יכול שיינתן מראש לסוג מסוים של פעולות." (הדגשה לא במקור א.ב.) </w:t>
      </w:r>
    </w:p>
    <w:p w14:paraId="27787FB5" w14:textId="77777777" w:rsidR="00707920" w:rsidRPr="00707920" w:rsidRDefault="00707920" w:rsidP="00707920">
      <w:pPr>
        <w:numPr>
          <w:ilvl w:val="0"/>
          <w:numId w:val="2"/>
        </w:numPr>
        <w:ind w:hanging="531"/>
        <w:contextualSpacing/>
        <w:jc w:val="both"/>
        <w:rPr>
          <w:rFonts w:ascii="David" w:hAnsi="David"/>
        </w:rPr>
      </w:pPr>
      <w:r w:rsidRPr="00707920">
        <w:rPr>
          <w:rFonts w:ascii="David" w:hAnsi="David"/>
          <w:rtl/>
        </w:rPr>
        <w:t xml:space="preserve">לצורך השאלה, האם היחיד אכן רשאי היה לדרוש  את פירוק השיתוף, צריך בראש וראשונה ,להראות שליחיד קיימת הזכות בנכס </w:t>
      </w:r>
      <w:r w:rsidRPr="00707920">
        <w:rPr>
          <w:rFonts w:ascii="David" w:hAnsi="David"/>
        </w:rPr>
        <w:t xml:space="preserve"> </w:t>
      </w:r>
      <w:r w:rsidRPr="00707920">
        <w:rPr>
          <w:rFonts w:ascii="David" w:hAnsi="David"/>
          <w:rtl/>
        </w:rPr>
        <w:t xml:space="preserve">כי הזכות לפירוק שיתוף מוקנית </w:t>
      </w:r>
      <w:r w:rsidRPr="00707920">
        <w:rPr>
          <w:rFonts w:ascii="David" w:hAnsi="David"/>
          <w:b/>
          <w:bCs/>
          <w:u w:val="single"/>
          <w:rtl/>
        </w:rPr>
        <w:t>ל"שותף</w:t>
      </w:r>
      <w:r w:rsidRPr="00707920">
        <w:rPr>
          <w:rFonts w:ascii="David" w:hAnsi="David"/>
          <w:rtl/>
        </w:rPr>
        <w:t xml:space="preserve">"  . התנאי לפיו הזכות מוקנית רק לשותף מעוגן במפורש  ב10(א) לחוק </w:t>
      </w:r>
      <w:r w:rsidRPr="00707920">
        <w:rPr>
          <w:rFonts w:ascii="David" w:hAnsi="David"/>
          <w:b/>
          <w:bCs/>
          <w:rtl/>
        </w:rPr>
        <w:t xml:space="preserve">המיטלטלין,  </w:t>
      </w:r>
      <w:r w:rsidRPr="00707920">
        <w:rPr>
          <w:rFonts w:ascii="David" w:hAnsi="David"/>
          <w:rtl/>
        </w:rPr>
        <w:t xml:space="preserve"> הקובע כי "כל שותף זכאי בכל עת לדרוש פירוק השיתוף "  וכאמור, מעוגן באופן דומה </w:t>
      </w:r>
      <w:r w:rsidRPr="00707920">
        <w:rPr>
          <w:rFonts w:ascii="David" w:hAnsi="David"/>
        </w:rPr>
        <w:t xml:space="preserve"> </w:t>
      </w:r>
      <w:r w:rsidRPr="00707920">
        <w:rPr>
          <w:rFonts w:ascii="David" w:hAnsi="David"/>
          <w:rtl/>
        </w:rPr>
        <w:t xml:space="preserve"> בס'  37 (א) </w:t>
      </w:r>
      <w:r w:rsidRPr="00707920">
        <w:rPr>
          <w:rFonts w:ascii="David" w:hAnsi="David"/>
          <w:b/>
          <w:bCs/>
          <w:rtl/>
        </w:rPr>
        <w:t>לחוק המקרקעין</w:t>
      </w:r>
      <w:r w:rsidRPr="00707920">
        <w:rPr>
          <w:rFonts w:ascii="David" w:hAnsi="David"/>
          <w:rtl/>
        </w:rPr>
        <w:t xml:space="preserve">  שילוב  הסעיפים 10 ו13 </w:t>
      </w:r>
      <w:r w:rsidRPr="00707920">
        <w:rPr>
          <w:rFonts w:ascii="David" w:hAnsi="David"/>
          <w:b/>
          <w:bCs/>
          <w:rtl/>
        </w:rPr>
        <w:t>לחוק  המיטלטלין</w:t>
      </w:r>
      <w:r w:rsidRPr="00707920">
        <w:rPr>
          <w:rFonts w:ascii="David" w:hAnsi="David"/>
          <w:rtl/>
        </w:rPr>
        <w:t xml:space="preserve"> מבסס אפשרות משפטית לפרק שיתוף בין כל מי שיש לו זכות אובליגטורית להירשם במרשם המקרקעין כבעל זכויות ביחס לנכס . השוו כב' השופט גרוסקופף ברע"א 588/19 </w:t>
      </w:r>
      <w:r w:rsidRPr="00707920">
        <w:rPr>
          <w:rFonts w:ascii="David" w:hAnsi="David"/>
          <w:b/>
          <w:bCs/>
          <w:rtl/>
        </w:rPr>
        <w:t>צפירה נ' י.בהרי יזמות והנדסה בע"מ,</w:t>
      </w:r>
      <w:r w:rsidRPr="00707920">
        <w:rPr>
          <w:rFonts w:ascii="David" w:hAnsi="David"/>
          <w:rtl/>
        </w:rPr>
        <w:t xml:space="preserve"> פסקה 2</w:t>
      </w:r>
      <w:r w:rsidRPr="00707920">
        <w:rPr>
          <w:rFonts w:ascii="David" w:hAnsi="David"/>
        </w:rPr>
        <w:t xml:space="preserve"> (14.2.2019)</w:t>
      </w:r>
      <w:r w:rsidRPr="00707920">
        <w:rPr>
          <w:rFonts w:ascii="David" w:hAnsi="David"/>
          <w:rtl/>
        </w:rPr>
        <w:t>)וכן כב' השופט שטיין ברע"א 5397/23 </w:t>
      </w:r>
      <w:r w:rsidRPr="00707920">
        <w:rPr>
          <w:rFonts w:ascii="David" w:hAnsi="David"/>
          <w:b/>
          <w:bCs/>
          <w:rtl/>
        </w:rPr>
        <w:t>עלי מוחמד חבשי נ' סולאפה ראוף עונאללה</w:t>
      </w:r>
      <w:r w:rsidRPr="00707920">
        <w:rPr>
          <w:rFonts w:ascii="David" w:hAnsi="David"/>
          <w:rtl/>
        </w:rPr>
        <w:t> (נבו 06.08.2023)‏‏    ודוק -</w:t>
      </w:r>
      <w:r w:rsidRPr="00707920">
        <w:rPr>
          <w:rFonts w:ascii="David" w:hAnsi="David"/>
        </w:rPr>
        <w:t xml:space="preserve"> </w:t>
      </w:r>
    </w:p>
    <w:p w14:paraId="54C80823" w14:textId="544DE977" w:rsidR="00707920" w:rsidRPr="00707920" w:rsidRDefault="00707920" w:rsidP="0014119A">
      <w:pPr>
        <w:numPr>
          <w:ilvl w:val="0"/>
          <w:numId w:val="2"/>
        </w:numPr>
        <w:ind w:hanging="531"/>
        <w:contextualSpacing/>
        <w:jc w:val="both"/>
        <w:rPr>
          <w:rFonts w:ascii="David" w:hAnsi="David"/>
        </w:rPr>
      </w:pPr>
      <w:r w:rsidRPr="00707920">
        <w:rPr>
          <w:rFonts w:ascii="David" w:hAnsi="David"/>
          <w:rtl/>
        </w:rPr>
        <w:t xml:space="preserve">ודוק, כעולה מהניתוח לעיל , איני סבור שחל  ס'  37 </w:t>
      </w:r>
      <w:r w:rsidRPr="00707920">
        <w:rPr>
          <w:rFonts w:ascii="David" w:hAnsi="David"/>
          <w:b/>
          <w:bCs/>
          <w:rtl/>
        </w:rPr>
        <w:t>לחוק המקרקעין</w:t>
      </w:r>
      <w:r w:rsidRPr="00707920">
        <w:rPr>
          <w:rFonts w:ascii="David" w:hAnsi="David"/>
          <w:rtl/>
        </w:rPr>
        <w:t xml:space="preserve">  כעמדת הגרושה השניה. דומני  שחל </w:t>
      </w:r>
      <w:r w:rsidRPr="00707920">
        <w:rPr>
          <w:rFonts w:ascii="David" w:hAnsi="David"/>
        </w:rPr>
        <w:t xml:space="preserve"> </w:t>
      </w:r>
      <w:r w:rsidRPr="00707920">
        <w:rPr>
          <w:rFonts w:ascii="David" w:hAnsi="David"/>
          <w:rtl/>
        </w:rPr>
        <w:t xml:space="preserve">חוק המיטלטלין כי אין ליחיד זכות רשומה ואף לפי הטענה, שאינה פשוטה , לפיה ניתן לרכוש בנסיבות אלה  זכות "מעין קניינית"  כ "זכות שביושר נוסח ישראל".אולם ,ההסדר שמחיל חוק המיטלטלין הוא הדר דומה להסדר מכוח חוק המקרקעין  . </w:t>
      </w:r>
      <w:r w:rsidRPr="00707920">
        <w:rPr>
          <w:rFonts w:ascii="David" w:hAnsi="David"/>
        </w:rPr>
        <w:t xml:space="preserve"> </w:t>
      </w:r>
      <w:r w:rsidRPr="00707920">
        <w:rPr>
          <w:rFonts w:ascii="David" w:hAnsi="David"/>
          <w:rtl/>
        </w:rPr>
        <w:t xml:space="preserve">דיון </w:t>
      </w:r>
      <w:r w:rsidR="0014119A">
        <w:rPr>
          <w:rFonts w:ascii="David" w:hAnsi="David" w:hint="cs"/>
          <w:rtl/>
        </w:rPr>
        <w:t>ב</w:t>
      </w:r>
      <w:r w:rsidRPr="00707920">
        <w:rPr>
          <w:rFonts w:ascii="David" w:hAnsi="David"/>
          <w:rtl/>
        </w:rPr>
        <w:t xml:space="preserve">זכות מעין קניינית קיים בענין אהרונוב,   אך  כפי שיפורט להלן, על המקרה שלפנינו חל עניין בוקר </w:t>
      </w:r>
    </w:p>
    <w:p w14:paraId="18ED0833" w14:textId="11729470" w:rsidR="00707920" w:rsidRPr="00707920" w:rsidRDefault="00707920" w:rsidP="0014119A">
      <w:pPr>
        <w:numPr>
          <w:ilvl w:val="0"/>
          <w:numId w:val="2"/>
        </w:numPr>
        <w:ind w:hanging="531"/>
        <w:contextualSpacing/>
        <w:jc w:val="both"/>
        <w:rPr>
          <w:rFonts w:ascii="David" w:hAnsi="David"/>
          <w:b/>
          <w:bCs/>
          <w:u w:val="single"/>
        </w:rPr>
      </w:pPr>
      <w:r w:rsidRPr="00707920">
        <w:rPr>
          <w:rFonts w:ascii="David" w:hAnsi="David"/>
          <w:rtl/>
        </w:rPr>
        <w:t>לטעמי וזהו נ</w:t>
      </w:r>
      <w:r w:rsidR="0014119A">
        <w:rPr>
          <w:rFonts w:ascii="David" w:hAnsi="David" w:hint="cs"/>
          <w:rtl/>
        </w:rPr>
        <w:t>ו</w:t>
      </w:r>
      <w:r w:rsidRPr="00707920">
        <w:rPr>
          <w:rFonts w:ascii="David" w:hAnsi="David"/>
          <w:rtl/>
        </w:rPr>
        <w:t xml:space="preserve">שא מרכזי- בעת הנוכחית לאחר  שכבר ניתן </w:t>
      </w:r>
      <w:r w:rsidRPr="00707920">
        <w:rPr>
          <w:rFonts w:ascii="David" w:hAnsi="David"/>
          <w:b/>
          <w:bCs/>
          <w:rtl/>
        </w:rPr>
        <w:t>פסק הדין שהורה על רישום זכויות על שם הגרושה השנייה</w:t>
      </w:r>
      <w:r w:rsidRPr="00707920">
        <w:rPr>
          <w:rFonts w:ascii="David" w:hAnsi="David"/>
          <w:b/>
          <w:bCs/>
        </w:rPr>
        <w:t xml:space="preserve"> </w:t>
      </w:r>
      <w:r w:rsidRPr="00707920">
        <w:rPr>
          <w:rFonts w:ascii="David" w:hAnsi="David"/>
          <w:b/>
          <w:bCs/>
          <w:rtl/>
        </w:rPr>
        <w:t xml:space="preserve">(בה"פ 68985-05-18  </w:t>
      </w:r>
      <w:r w:rsidRPr="00707920">
        <w:rPr>
          <w:rFonts w:ascii="David" w:hAnsi="David"/>
          <w:b/>
          <w:bCs/>
        </w:rPr>
        <w:t xml:space="preserve"> </w:t>
      </w:r>
      <w:r w:rsidRPr="00707920">
        <w:rPr>
          <w:rFonts w:ascii="David" w:hAnsi="David"/>
          <w:b/>
          <w:bCs/>
          <w:rtl/>
        </w:rPr>
        <w:t xml:space="preserve">)  </w:t>
      </w:r>
      <w:r w:rsidRPr="00707920">
        <w:rPr>
          <w:rFonts w:ascii="David" w:hAnsi="David"/>
          <w:rtl/>
        </w:rPr>
        <w:t>ע"י כב' השופט שפסר בבית המשפט המחוזי  לא ניתן להתעלם ממנו. המדובר בפסק דין  סופי חלוט, אשר כולל צו אופרטיבי</w:t>
      </w:r>
      <w:r w:rsidRPr="00707920">
        <w:rPr>
          <w:rFonts w:ascii="David" w:hAnsi="David"/>
        </w:rPr>
        <w:t xml:space="preserve"> </w:t>
      </w:r>
      <w:r w:rsidRPr="00707920">
        <w:rPr>
          <w:rFonts w:ascii="David" w:hAnsi="David"/>
          <w:rtl/>
        </w:rPr>
        <w:t xml:space="preserve">לאחר הפעלת שיקול דעת שיפוטי   בדבר רישום על שם הגרושה השניה את הזכויות שרשומות על שם היחיד </w:t>
      </w:r>
      <w:r w:rsidRPr="00707920">
        <w:rPr>
          <w:rFonts w:ascii="David" w:hAnsi="David"/>
        </w:rPr>
        <w:t xml:space="preserve"> </w:t>
      </w:r>
      <w:r w:rsidRPr="00707920">
        <w:rPr>
          <w:rFonts w:ascii="David" w:hAnsi="David"/>
          <w:b/>
          <w:bCs/>
          <w:rtl/>
        </w:rPr>
        <w:t>.</w:t>
      </w:r>
      <w:r w:rsidRPr="00707920">
        <w:rPr>
          <w:rFonts w:ascii="David" w:hAnsi="David"/>
          <w:rtl/>
        </w:rPr>
        <w:t xml:space="preserve"> </w:t>
      </w:r>
      <w:r w:rsidRPr="00707920">
        <w:rPr>
          <w:rFonts w:ascii="David" w:hAnsi="David"/>
          <w:b/>
          <w:bCs/>
          <w:u w:val="single"/>
          <w:rtl/>
        </w:rPr>
        <w:t>כלומר לפי פסק הדין הזה היחיד כבר לא בעל הזכות  בנכס .</w:t>
      </w:r>
    </w:p>
    <w:p w14:paraId="58604C11" w14:textId="77777777" w:rsidR="00707920" w:rsidRPr="00707920" w:rsidRDefault="00707920" w:rsidP="00707920">
      <w:pPr>
        <w:numPr>
          <w:ilvl w:val="0"/>
          <w:numId w:val="2"/>
        </w:numPr>
        <w:ind w:hanging="531"/>
        <w:contextualSpacing/>
        <w:jc w:val="both"/>
        <w:rPr>
          <w:rFonts w:ascii="David" w:hAnsi="David"/>
        </w:rPr>
      </w:pPr>
      <w:r w:rsidRPr="00707920">
        <w:rPr>
          <w:rFonts w:ascii="David" w:hAnsi="David"/>
          <w:rtl/>
        </w:rPr>
        <w:t>לשון אחרת,  בפסק הדין הזה, בה"פ  68985-05-18    קיימת  הצהרה  שלפיה  הזכויות  אינן של היחיד, אלא של הגרושה השניה  .</w:t>
      </w:r>
      <w:r w:rsidRPr="00707920">
        <w:rPr>
          <w:rFonts w:ascii="David" w:hAnsi="David"/>
        </w:rPr>
        <w:t xml:space="preserve"> </w:t>
      </w:r>
      <w:r w:rsidRPr="00707920">
        <w:rPr>
          <w:rFonts w:ascii="David" w:hAnsi="David"/>
          <w:rtl/>
        </w:rPr>
        <w:t xml:space="preserve">זאת הואיל וכמסתבר התרשם כב' השופט מקיום התנאים הבאים   : א. למבקש זכות או שקיים המצב שעליו הוא מבקש להצהיר  בפסיקה אף מופיעים ניסוחים המתייחסים לאינטרס לגיטמי ותועלת בקבלת סעד ב. שנית, כי מן הראוי לשריין אותה זכות - או אותו מצב - על-ידי מתן פסק-דין שישתיק כפירה והכחשה בעתיד, עקב מעשה בית דין שיווצר על-ידי פסק הדין.    ג.  אין נסיבות המניעות את בית המשפט לסרב  למתן הסעד  ד. אגב  כפי שהובהר זה מכבר ר מפי כבו' השופט עציוני בע"א 76 / 130 "אגד" </w:t>
      </w:r>
      <w:r w:rsidRPr="00707920">
        <w:rPr>
          <w:rFonts w:ascii="David" w:hAnsi="David"/>
          <w:b/>
          <w:bCs/>
          <w:rtl/>
        </w:rPr>
        <w:t>אגודה שיתופית לתחבורה בישראל בע"מ נ' יצחק בסה</w:t>
      </w:r>
      <w:r w:rsidRPr="00707920">
        <w:rPr>
          <w:rFonts w:ascii="David" w:hAnsi="David"/>
          <w:rtl/>
        </w:rPr>
        <w:t xml:space="preserve"> פ"ד  לא (3) 157, עמוד 159(9.6.1977 ):" גם פסק-דין הצהרתי חייב שתהא לו מידה מסויימת של אפקטיביות מעשית</w:t>
      </w:r>
      <w:r w:rsidRPr="00707920">
        <w:rPr>
          <w:rFonts w:ascii="David" w:hAnsi="David"/>
        </w:rPr>
        <w:t>. </w:t>
      </w:r>
      <w:r w:rsidRPr="00707920">
        <w:rPr>
          <w:rFonts w:ascii="David" w:hAnsi="David"/>
          <w:rtl/>
        </w:rPr>
        <w:t xml:space="preserve">" למעשה במקרה זה , בית המשפט יצר תוצאה מעשית, כי לא הסתפק בהצהרה על  הזכות ביחסים שבין שני הצדדים  אלא הורה על  סעד אופרטיבי בדמות צו </w:t>
      </w:r>
      <w:r w:rsidRPr="00707920">
        <w:rPr>
          <w:rFonts w:ascii="David" w:hAnsi="David"/>
        </w:rPr>
        <w:t xml:space="preserve"> </w:t>
      </w:r>
      <w:r w:rsidRPr="00707920">
        <w:rPr>
          <w:rFonts w:ascii="David" w:hAnsi="David"/>
          <w:rtl/>
        </w:rPr>
        <w:t>אכיף  ( לכאורה אין זה סעד הצהרתי גרידא )</w:t>
      </w:r>
    </w:p>
    <w:p w14:paraId="01530338" w14:textId="77777777" w:rsidR="00707920" w:rsidRPr="00707920" w:rsidRDefault="00707920" w:rsidP="00707920">
      <w:pPr>
        <w:numPr>
          <w:ilvl w:val="0"/>
          <w:numId w:val="2"/>
        </w:numPr>
        <w:ind w:hanging="531"/>
        <w:contextualSpacing/>
        <w:jc w:val="both"/>
        <w:rPr>
          <w:rFonts w:ascii="David" w:hAnsi="David"/>
        </w:rPr>
      </w:pPr>
      <w:r w:rsidRPr="00707920">
        <w:rPr>
          <w:rFonts w:ascii="David" w:hAnsi="David"/>
          <w:b/>
          <w:bCs/>
          <w:u w:val="single"/>
          <w:rtl/>
        </w:rPr>
        <w:t xml:space="preserve">ואולם - </w:t>
      </w:r>
      <w:r w:rsidRPr="00707920">
        <w:rPr>
          <w:rFonts w:ascii="David" w:hAnsi="David"/>
          <w:rtl/>
        </w:rPr>
        <w:t xml:space="preserve">מקובל עלי  כמפורט להלן, </w:t>
      </w:r>
      <w:r w:rsidRPr="00707920">
        <w:rPr>
          <w:rFonts w:ascii="David" w:hAnsi="David"/>
        </w:rPr>
        <w:t xml:space="preserve"> </w:t>
      </w:r>
      <w:r w:rsidRPr="00707920">
        <w:rPr>
          <w:rFonts w:ascii="David" w:hAnsi="David"/>
          <w:rtl/>
        </w:rPr>
        <w:t xml:space="preserve">שלא  </w:t>
      </w:r>
      <w:r w:rsidRPr="00707920">
        <w:rPr>
          <w:rFonts w:ascii="David" w:hAnsi="David"/>
          <w:b/>
          <w:bCs/>
          <w:rtl/>
        </w:rPr>
        <w:t xml:space="preserve">ניתן לראות בפסק הדין הזה </w:t>
      </w:r>
      <w:r w:rsidRPr="00707920">
        <w:rPr>
          <w:rFonts w:ascii="David" w:hAnsi="David"/>
          <w:b/>
          <w:bCs/>
        </w:rPr>
        <w:t xml:space="preserve"> </w:t>
      </w:r>
      <w:r w:rsidRPr="00707920">
        <w:rPr>
          <w:rFonts w:ascii="David" w:hAnsi="David"/>
          <w:b/>
          <w:bCs/>
          <w:rtl/>
        </w:rPr>
        <w:t xml:space="preserve"> הצהרה  והכרעה</w:t>
      </w:r>
      <w:r w:rsidRPr="00707920">
        <w:rPr>
          <w:rFonts w:ascii="David" w:hAnsi="David"/>
          <w:rtl/>
        </w:rPr>
        <w:t xml:space="preserve"> מכוונת שלילית המאיינת את תוקף העיקול הקודם ואת מעמד הגרושה הראשונה   שלא הייתה צד לו .אין בו קביעה כזאת. </w:t>
      </w:r>
    </w:p>
    <w:p w14:paraId="68AF230E" w14:textId="56C8ECBC" w:rsidR="00707920" w:rsidRPr="00707920" w:rsidRDefault="00707920" w:rsidP="0014119A">
      <w:pPr>
        <w:numPr>
          <w:ilvl w:val="0"/>
          <w:numId w:val="2"/>
        </w:numPr>
        <w:suppressLineNumbers/>
        <w:ind w:hanging="531"/>
        <w:contextualSpacing/>
        <w:jc w:val="both"/>
        <w:rPr>
          <w:rFonts w:ascii="David" w:hAnsi="David"/>
          <w:sz w:val="20"/>
          <w:szCs w:val="20"/>
        </w:rPr>
      </w:pPr>
      <w:r w:rsidRPr="00707920">
        <w:rPr>
          <w:rFonts w:ascii="David" w:hAnsi="David"/>
          <w:rtl/>
        </w:rPr>
        <w:t xml:space="preserve">יתירה מכך  מלאכותי בעייתי,  ומוקשה בעיני </w:t>
      </w:r>
      <w:r w:rsidRPr="00707920">
        <w:rPr>
          <w:rFonts w:ascii="David" w:hAnsi="David"/>
          <w:b/>
          <w:bCs/>
        </w:rPr>
        <w:t xml:space="preserve"> </w:t>
      </w:r>
      <w:r w:rsidRPr="00707920">
        <w:rPr>
          <w:rFonts w:ascii="David" w:hAnsi="David"/>
          <w:b/>
          <w:bCs/>
          <w:rtl/>
        </w:rPr>
        <w:t>עתה  כל ניסיון  לטעון עתה  אחרת מהכתוב ברור  בפסק הדין</w:t>
      </w:r>
      <w:r w:rsidR="0014119A">
        <w:rPr>
          <w:rFonts w:ascii="David" w:hAnsi="David"/>
          <w:sz w:val="20"/>
          <w:szCs w:val="20"/>
        </w:rPr>
        <w:t>.</w:t>
      </w:r>
      <w:r w:rsidRPr="00707920">
        <w:rPr>
          <w:rFonts w:ascii="David" w:hAnsi="David"/>
          <w:sz w:val="20"/>
          <w:szCs w:val="20"/>
        </w:rPr>
        <w:t xml:space="preserve"> </w:t>
      </w:r>
      <w:r w:rsidRPr="00707920">
        <w:rPr>
          <w:rFonts w:ascii="David" w:hAnsi="David"/>
          <w:rtl/>
        </w:rPr>
        <w:t>ככל שמי מהצדדים סבר שבית המשפט הניח , באופן נסתר מעיני הקורא,  שהצו לא אפשרי לפי נהלי הרשות , שלכאורה הייתה צד להליך</w:t>
      </w:r>
      <w:r w:rsidR="0014119A">
        <w:rPr>
          <w:rFonts w:ascii="David" w:hAnsi="David" w:hint="cs"/>
          <w:rtl/>
        </w:rPr>
        <w:t>,</w:t>
      </w:r>
      <w:r w:rsidRPr="00707920">
        <w:rPr>
          <w:rFonts w:ascii="David" w:hAnsi="David"/>
          <w:rtl/>
        </w:rPr>
        <w:t xml:space="preserve"> הרי שהדרך הראויה לכך היא בפניה המתאימה להבהרת פסק דין . בהקשר לפניה זאת ראו כב' השופט נאור </w:t>
      </w:r>
      <w:r w:rsidRPr="0014119A">
        <w:rPr>
          <w:rFonts w:ascii="David" w:hAnsi="David"/>
          <w:rtl/>
        </w:rPr>
        <w:t>ב</w:t>
      </w:r>
      <w:r w:rsidRPr="0014119A">
        <w:rPr>
          <w:rFonts w:ascii="David" w:hAnsi="David"/>
          <w:sz w:val="27"/>
          <w:rtl/>
        </w:rPr>
        <w:t>רע"א 9078/08 </w:t>
      </w:r>
      <w:r w:rsidRPr="0014119A">
        <w:rPr>
          <w:rFonts w:ascii="David" w:hAnsi="David"/>
          <w:b/>
          <w:bCs/>
          <w:sz w:val="27"/>
          <w:rtl/>
        </w:rPr>
        <w:t>טובה פינקלשטיין נ' טיב בית חרושת לנקניק ובשר מעושן- שותפות מוגבלת</w:t>
      </w:r>
      <w:r w:rsidRPr="0014119A">
        <w:rPr>
          <w:rFonts w:ascii="David" w:hAnsi="David"/>
          <w:sz w:val="27"/>
          <w:rtl/>
        </w:rPr>
        <w:t> (נבו</w:t>
      </w:r>
      <w:r w:rsidRPr="00707920">
        <w:rPr>
          <w:rFonts w:ascii="David" w:hAnsi="David"/>
          <w:sz w:val="27"/>
          <w:szCs w:val="27"/>
          <w:rtl/>
        </w:rPr>
        <w:t xml:space="preserve"> 10.04.2009)‏</w:t>
      </w:r>
      <w:r w:rsidRPr="00707920">
        <w:rPr>
          <w:rFonts w:ascii="David" w:hAnsi="David"/>
          <w:color w:val="000000"/>
          <w:sz w:val="27"/>
          <w:szCs w:val="27"/>
          <w:rtl/>
        </w:rPr>
        <w:t xml:space="preserve">‏ </w:t>
      </w:r>
      <w:r w:rsidRPr="00707920">
        <w:rPr>
          <w:rFonts w:ascii="David" w:hAnsi="David"/>
          <w:rtl/>
        </w:rPr>
        <w:t xml:space="preserve">" ( פסקה 5(ג)  שם נאמר כי :"       בקשה להבהרת פסק דין הינה בקשה אשר מטרתה איננה לתקן בפסק הדין טעות מהותית (כבערעור), או טכנית (כבבקשה לתיקון פסק הדין), אלא להבהיר את כוונת בית המשפט בפסק הדין, שנסתרה מעיני הקורא. ההקשר הדיוני הרגיל להגשת בקשה שכזו הינו בגדרם של הליכי הוצאה לפועל שננקטו לביצוע פסק הדין, כאשר ראש ההוצאה לפועל מסיק (ייתכן - לאחר שהונע לכך על-ידי אחד מבעלי הדין) כי פסק הדין, או חלק ממנו: "טעון הבהרה לשם ביצועו" (ראו: חוק ההוצאה לפועל, תשכ"ז-1967, סעיף 12; רע"א 7711/06 המכללה המשותפת </w:t>
      </w:r>
      <w:r w:rsidRPr="00707920">
        <w:rPr>
          <w:rFonts w:ascii="David" w:hAnsi="David"/>
          <w:rtl/>
        </w:rPr>
        <w:lastRenderedPageBreak/>
        <w:t>בע"מ נ' מנדל, פסקה ה(2) (טרם פורסם, 18.1.2007)). חלופה שגורה פחות, למעט במקרים בהם פסק הדין אינו ניתן לביצוע בהוצאה לפועל, היא של הגשת תובענה לסעד הצהרתי (להבדיל מבקשה בכתב ל"הבהרת פסק דין") לבית המשפט אשר נתן את פסק הדין (ראו: ע"א 5403/90 מדינת ישראל נ' ר.א.ם. רבחי את איברהים, פ"ד מו(3) 459 (1992), בג"ץ 4698/01 פלדברג נ' שר הבינוי והשיכון (לא פורסם, 18.12.01)). אולם, אם בעל הדין מעוניין רק שפסק הדין יתוקן בדרך מסוימת, דרך הפעולה הראויה והיעילה איננה הליך הבהרה כי אם הגשת ערעור על פסק הדין (ודאי אם מדובר בתיקון מהותי), או הגשת בקשה לתיקון פסק הדין בהתאם להוראת סעיף 81 לחוק (ככל שמדובר בתיקון טעות טכנית)</w:t>
      </w:r>
      <w:r w:rsidRPr="00707920">
        <w:rPr>
          <w:rFonts w:ascii="David" w:hAnsi="David"/>
        </w:rPr>
        <w:t>."</w:t>
      </w:r>
    </w:p>
    <w:p w14:paraId="21E0B445" w14:textId="24B44BBD" w:rsidR="00707920" w:rsidRPr="00707920" w:rsidRDefault="00707920" w:rsidP="0014119A">
      <w:pPr>
        <w:numPr>
          <w:ilvl w:val="0"/>
          <w:numId w:val="2"/>
        </w:numPr>
        <w:suppressLineNumbers/>
        <w:ind w:hanging="531"/>
        <w:contextualSpacing/>
        <w:jc w:val="both"/>
        <w:rPr>
          <w:rFonts w:ascii="David" w:hAnsi="David"/>
          <w:rtl/>
        </w:rPr>
      </w:pPr>
      <w:r w:rsidRPr="00707920">
        <w:rPr>
          <w:rFonts w:ascii="David" w:hAnsi="David"/>
          <w:b/>
          <w:bCs/>
        </w:rPr>
        <w:t xml:space="preserve"> </w:t>
      </w:r>
      <w:r w:rsidRPr="00707920">
        <w:rPr>
          <w:rFonts w:ascii="David" w:hAnsi="David"/>
          <w:b/>
          <w:bCs/>
          <w:rtl/>
        </w:rPr>
        <w:t xml:space="preserve">בשלב זה - </w:t>
      </w:r>
      <w:r w:rsidRPr="00707920">
        <w:rPr>
          <w:rFonts w:ascii="David" w:hAnsi="David"/>
        </w:rPr>
        <w:t xml:space="preserve"> </w:t>
      </w:r>
      <w:r w:rsidR="0014119A">
        <w:rPr>
          <w:rFonts w:ascii="David" w:hAnsi="David" w:hint="cs"/>
          <w:rtl/>
        </w:rPr>
        <w:t xml:space="preserve">מחמת </w:t>
      </w:r>
      <w:r w:rsidRPr="00707920">
        <w:rPr>
          <w:rFonts w:ascii="David" w:hAnsi="David"/>
          <w:rtl/>
        </w:rPr>
        <w:t xml:space="preserve">פסק הדין הזה ,  </w:t>
      </w:r>
      <w:r w:rsidRPr="00707920">
        <w:rPr>
          <w:rFonts w:ascii="David" w:hAnsi="David"/>
        </w:rPr>
        <w:t xml:space="preserve"> </w:t>
      </w:r>
      <w:r w:rsidRPr="00707920">
        <w:rPr>
          <w:rFonts w:ascii="David" w:hAnsi="David"/>
          <w:b/>
          <w:bCs/>
          <w:u w:val="single"/>
          <w:rtl/>
        </w:rPr>
        <w:t xml:space="preserve">אין היחיד "שותף"  </w:t>
      </w:r>
      <w:r w:rsidRPr="00707920">
        <w:rPr>
          <w:rFonts w:ascii="David" w:hAnsi="David"/>
          <w:rtl/>
        </w:rPr>
        <w:t xml:space="preserve">בזכויות בנכס כדרישת חוק המיטלטלין,  כי את הזכויות אין לרשום על שמו  ולפיכך </w:t>
      </w:r>
      <w:r w:rsidRPr="00707920">
        <w:rPr>
          <w:rFonts w:ascii="David" w:hAnsi="David"/>
        </w:rPr>
        <w:t xml:space="preserve"> </w:t>
      </w:r>
      <w:r w:rsidRPr="00707920">
        <w:rPr>
          <w:rFonts w:ascii="David" w:hAnsi="David"/>
          <w:rtl/>
        </w:rPr>
        <w:t xml:space="preserve">אינו רשאי כשלעצמו לפנות בבקשה  לפירוק שיתוף </w:t>
      </w:r>
      <w:r w:rsidR="0014119A">
        <w:rPr>
          <w:rFonts w:ascii="David" w:hAnsi="David" w:hint="cs"/>
          <w:rtl/>
        </w:rPr>
        <w:t xml:space="preserve">.זאת </w:t>
      </w:r>
      <w:r w:rsidRPr="00707920">
        <w:rPr>
          <w:rFonts w:ascii="David" w:hAnsi="David"/>
          <w:rtl/>
        </w:rPr>
        <w:t xml:space="preserve">בדומה לכך שקונה שמכר זכותו לאחר </w:t>
      </w:r>
      <w:r w:rsidRPr="00707920">
        <w:rPr>
          <w:rFonts w:ascii="David" w:hAnsi="David"/>
        </w:rPr>
        <w:t xml:space="preserve"> </w:t>
      </w:r>
      <w:r w:rsidRPr="00707920">
        <w:rPr>
          <w:rFonts w:ascii="David" w:hAnsi="David"/>
          <w:rtl/>
        </w:rPr>
        <w:t xml:space="preserve">לא יוכל לטעון לשותפות בנכס לאחר המכר. </w:t>
      </w:r>
    </w:p>
    <w:p w14:paraId="44707463" w14:textId="77777777" w:rsidR="00707920" w:rsidRPr="00707920" w:rsidRDefault="00707920" w:rsidP="00707920">
      <w:pPr>
        <w:suppressLineNumbers/>
        <w:ind w:left="501"/>
        <w:contextualSpacing/>
        <w:jc w:val="both"/>
        <w:rPr>
          <w:rFonts w:ascii="David" w:hAnsi="David"/>
        </w:rPr>
      </w:pPr>
    </w:p>
    <w:p w14:paraId="292DD215" w14:textId="77777777" w:rsidR="00707920" w:rsidRPr="00707920" w:rsidRDefault="00707920" w:rsidP="00707920">
      <w:pPr>
        <w:pStyle w:val="3"/>
        <w:rPr>
          <w:rFonts w:ascii="David" w:hAnsi="David" w:cs="David"/>
          <w:noProof w:val="0"/>
          <w:sz w:val="22"/>
          <w:rtl/>
        </w:rPr>
      </w:pPr>
      <w:bookmarkStart w:id="25" w:name="_Toc168898772"/>
      <w:r w:rsidRPr="00707920">
        <w:rPr>
          <w:rFonts w:ascii="David" w:hAnsi="David" w:cs="David"/>
          <w:rtl/>
        </w:rPr>
        <w:t>פסק הדין שהורה על רישום זכויות על שם הגרושה השנייה</w:t>
      </w:r>
      <w:r w:rsidRPr="00707920">
        <w:rPr>
          <w:rFonts w:ascii="David" w:hAnsi="David" w:cs="David"/>
        </w:rPr>
        <w:t xml:space="preserve">  </w:t>
      </w:r>
      <w:r w:rsidRPr="00707920">
        <w:rPr>
          <w:rFonts w:ascii="David" w:hAnsi="David" w:cs="David"/>
          <w:rtl/>
        </w:rPr>
        <w:t>אשר לפיו היחיד אינו שותף אינו מאפשר לנאמן לפעול בניגוד לו</w:t>
      </w:r>
      <w:r w:rsidRPr="00707920">
        <w:rPr>
          <w:rFonts w:ascii="David" w:hAnsi="David" w:cs="David"/>
          <w:b/>
          <w:bCs/>
          <w:rtl/>
        </w:rPr>
        <w:t xml:space="preserve">  גם לנוכח יחסי הקרבה המשפטית </w:t>
      </w:r>
      <w:r w:rsidRPr="00707920">
        <w:rPr>
          <w:rFonts w:ascii="David" w:hAnsi="David" w:cs="David"/>
          <w:noProof w:val="0"/>
          <w:sz w:val="22"/>
          <w:rtl/>
        </w:rPr>
        <w:t>, ומכוח העיקול הגרושה הראשונה אינה נחשבת שותפה בנכס ובכל אופן לא בנעליה הנאמן הוסמך לפעול</w:t>
      </w:r>
      <w:bookmarkEnd w:id="25"/>
      <w:r w:rsidRPr="00707920">
        <w:rPr>
          <w:rFonts w:ascii="David" w:hAnsi="David" w:cs="David"/>
          <w:noProof w:val="0"/>
          <w:sz w:val="22"/>
          <w:rtl/>
        </w:rPr>
        <w:t xml:space="preserve"> </w:t>
      </w:r>
    </w:p>
    <w:p w14:paraId="5DE13A7B" w14:textId="77777777" w:rsidR="00707920" w:rsidRPr="00707920" w:rsidRDefault="00707920" w:rsidP="00707920">
      <w:pPr>
        <w:suppressLineNumbers/>
        <w:ind w:left="501"/>
        <w:contextualSpacing/>
        <w:jc w:val="both"/>
        <w:rPr>
          <w:rFonts w:ascii="David" w:hAnsi="David"/>
          <w:b/>
          <w:bCs/>
          <w:sz w:val="20"/>
          <w:szCs w:val="20"/>
        </w:rPr>
      </w:pPr>
    </w:p>
    <w:p w14:paraId="248D6C22" w14:textId="77777777" w:rsidR="00707920" w:rsidRPr="00707920" w:rsidRDefault="00707920" w:rsidP="00707920">
      <w:pPr>
        <w:numPr>
          <w:ilvl w:val="0"/>
          <w:numId w:val="2"/>
        </w:numPr>
        <w:suppressLineNumbers/>
        <w:ind w:hanging="531"/>
        <w:contextualSpacing/>
        <w:jc w:val="both"/>
        <w:rPr>
          <w:rFonts w:ascii="David" w:hAnsi="David"/>
        </w:rPr>
      </w:pPr>
      <w:r w:rsidRPr="00707920">
        <w:rPr>
          <w:rFonts w:ascii="David" w:hAnsi="David"/>
        </w:rPr>
        <w:t xml:space="preserve"> </w:t>
      </w:r>
      <w:r w:rsidRPr="00707920">
        <w:rPr>
          <w:rFonts w:ascii="David" w:hAnsi="David"/>
          <w:rtl/>
        </w:rPr>
        <w:t xml:space="preserve"> </w:t>
      </w:r>
      <w:r w:rsidRPr="00707920">
        <w:rPr>
          <w:rFonts w:ascii="David" w:hAnsi="David" w:hint="cs"/>
          <w:b/>
          <w:bCs/>
          <w:rtl/>
        </w:rPr>
        <w:t>פסק הדין שהורה על רישום זכויות על שם הגרושה השנייה</w:t>
      </w:r>
      <w:r w:rsidRPr="00707920">
        <w:rPr>
          <w:rFonts w:ascii="David" w:hAnsi="David"/>
          <w:b/>
          <w:bCs/>
        </w:rPr>
        <w:t xml:space="preserve"> </w:t>
      </w:r>
      <w:r w:rsidRPr="00707920">
        <w:rPr>
          <w:rFonts w:ascii="David" w:hAnsi="David"/>
          <w:b/>
          <w:bCs/>
          <w:rtl/>
        </w:rPr>
        <w:t xml:space="preserve">(בה"פ 68985-05-18 </w:t>
      </w:r>
      <w:r w:rsidRPr="00707920">
        <w:rPr>
          <w:rFonts w:ascii="David" w:hAnsi="David"/>
          <w:rtl/>
        </w:rPr>
        <w:t xml:space="preserve"> משתיק לא רק   את היחיד </w:t>
      </w:r>
      <w:r w:rsidRPr="00707920">
        <w:rPr>
          <w:rFonts w:ascii="David" w:hAnsi="David"/>
        </w:rPr>
        <w:t xml:space="preserve"> </w:t>
      </w:r>
      <w:r w:rsidRPr="00707920">
        <w:rPr>
          <w:rFonts w:ascii="David" w:hAnsi="David"/>
          <w:rtl/>
        </w:rPr>
        <w:t xml:space="preserve"> מלטעון להיותו שותף במקרקעין , אלא </w:t>
      </w:r>
      <w:r w:rsidRPr="00707920">
        <w:rPr>
          <w:rFonts w:ascii="David" w:hAnsi="David"/>
        </w:rPr>
        <w:t xml:space="preserve"> </w:t>
      </w:r>
      <w:r w:rsidRPr="00707920">
        <w:rPr>
          <w:rFonts w:ascii="David" w:hAnsi="David"/>
          <w:rtl/>
        </w:rPr>
        <w:t xml:space="preserve"> גם את הנאמן ,לצורך בקשת פירוק השיתוף. זאת,  הואיל ולנאמן קיימת "קרבה משפטית". </w:t>
      </w:r>
      <w:r w:rsidRPr="00707920">
        <w:rPr>
          <w:rFonts w:ascii="David" w:hAnsi="David"/>
        </w:rPr>
        <w:t xml:space="preserve"> </w:t>
      </w:r>
      <w:r w:rsidRPr="00707920">
        <w:rPr>
          <w:rFonts w:ascii="David" w:hAnsi="David"/>
          <w:rtl/>
        </w:rPr>
        <w:t xml:space="preserve"> </w:t>
      </w:r>
      <w:r w:rsidRPr="00707920">
        <w:rPr>
          <w:rFonts w:ascii="David" w:hAnsi="David"/>
        </w:rPr>
        <w:t xml:space="preserve"> </w:t>
      </w:r>
      <w:r w:rsidRPr="00707920">
        <w:rPr>
          <w:rFonts w:ascii="David" w:hAnsi="David"/>
          <w:rtl/>
        </w:rPr>
        <w:t xml:space="preserve">לפיכך, לפי ס' 131 לחוק שצויין  לעיל ,גם את הנאמן אין לראות </w:t>
      </w:r>
      <w:r w:rsidRPr="00707920">
        <w:rPr>
          <w:rFonts w:ascii="David" w:hAnsi="David"/>
        </w:rPr>
        <w:t xml:space="preserve"> </w:t>
      </w:r>
      <w:r w:rsidRPr="00707920">
        <w:rPr>
          <w:rFonts w:ascii="David" w:hAnsi="David"/>
          <w:rtl/>
        </w:rPr>
        <w:t>כאילו היה   "שותף" כדרישת חוק המטלטלין,   הנאמן, רשאי לטעון לובניגוד לפסק הדין לפיו את הזכויות יש לרשום על אדם אחר שאינו היחיד אלא הגרושה השניה שלו.</w:t>
      </w:r>
    </w:p>
    <w:p w14:paraId="607A19F5" w14:textId="77777777" w:rsidR="00707920" w:rsidRPr="00707920" w:rsidRDefault="00707920" w:rsidP="00707920">
      <w:pPr>
        <w:ind w:left="501"/>
        <w:contextualSpacing/>
        <w:jc w:val="both"/>
        <w:rPr>
          <w:rFonts w:ascii="David" w:hAnsi="David"/>
        </w:rPr>
      </w:pPr>
      <w:r w:rsidRPr="00707920">
        <w:rPr>
          <w:rFonts w:ascii="David" w:hAnsi="David"/>
          <w:rtl/>
        </w:rPr>
        <w:t>על כך שקיימת קרבה משפטית עם הנאמן ניתן ללמוד מספרו של יששכר רוזן-צבי</w:t>
      </w:r>
      <w:r w:rsidRPr="00707920">
        <w:rPr>
          <w:rFonts w:ascii="David" w:hAnsi="David"/>
          <w:b/>
          <w:bCs/>
          <w:rtl/>
        </w:rPr>
        <w:t>, הרפורמה בסדר הדין האזרחי: מורה נבוכים</w:t>
      </w:r>
      <w:r w:rsidRPr="00707920">
        <w:rPr>
          <w:rFonts w:ascii="David" w:hAnsi="David"/>
          <w:rtl/>
        </w:rPr>
        <w:t xml:space="preserve"> (מהדורה שלישית – דיגיטלית, 3.2024) שלפיו  </w:t>
      </w:r>
      <w:r w:rsidRPr="00707920">
        <w:rPr>
          <w:rFonts w:ascii="David" w:hAnsi="David"/>
        </w:rPr>
        <w:t xml:space="preserve"> </w:t>
      </w:r>
      <w:r w:rsidRPr="00707920">
        <w:rPr>
          <w:rFonts w:ascii="David" w:hAnsi="David"/>
          <w:rtl/>
        </w:rPr>
        <w:t>:" בתי המשפט בישראל הרחיבו אף הם את הגדרת המונח "קרבה משפטית", וכיום הוא כולל סוגים רבים מאוד של יחסים בין זר למי שהיה צד לדיון. הכינוי שניתן בפסיקה למבחן החדש לחליפות הוא "קרבת עניין".... מבחן "קרבת העניין", שבבסיס ההגדרה העכשווית של "חליפות", הוא מבחן בעל רקמה פתוחה אשר בתי המשפט ממלאים אותו תוכן בהתאם לנסיבותיו הקונקרטיות של המקרה המונח לפתחם</w:t>
      </w:r>
      <w:r w:rsidRPr="00707920">
        <w:rPr>
          <w:rFonts w:ascii="David" w:hAnsi="David"/>
        </w:rPr>
        <w:t xml:space="preserve">. </w:t>
      </w:r>
      <w:r w:rsidRPr="00707920">
        <w:rPr>
          <w:rFonts w:ascii="David" w:hAnsi="David"/>
          <w:rtl/>
        </w:rPr>
        <w:t>מבחן זה מבוסס על השאלה "האם מצויים שיקולים של מדיניות משפטית המצדיקים השוואת מעמדו של בעל דין בהליך הנוכחי למעמדו של בעל דין בהליך הקודם וקשירתו לתוצאותיו ", והאם החלתו או אי-החלתו של מעשה בית דין במקרה קונקרטי תגרום לאי-צדק</w:t>
      </w:r>
      <w:r w:rsidRPr="00707920">
        <w:rPr>
          <w:rFonts w:ascii="David" w:hAnsi="David"/>
        </w:rPr>
        <w:t xml:space="preserve">? </w:t>
      </w:r>
      <w:r w:rsidRPr="00707920">
        <w:rPr>
          <w:rFonts w:ascii="David" w:hAnsi="David"/>
          <w:rtl/>
        </w:rPr>
        <w:t>ארבע קטגוריות של מקרים שבהם נקבע כי מוצדק להכיר באדם זר כחליפו של בעל דין שהיה צד להתדיינות הראשונה ולהחיל עליו השתק: (א) הסכמה מפורשת או משתמעת; (ב) שליטה בניהול ההתדיינות הראשונה; (ג) יחסי נאמנות; (ד) קרבה משפטית אחרת</w:t>
      </w:r>
      <w:r w:rsidRPr="00707920">
        <w:rPr>
          <w:rFonts w:ascii="David" w:hAnsi="David"/>
        </w:rPr>
        <w:t>.</w:t>
      </w:r>
      <w:r w:rsidRPr="00707920">
        <w:rPr>
          <w:rFonts w:ascii="David" w:hAnsi="David"/>
          <w:rtl/>
        </w:rPr>
        <w:t>"</w:t>
      </w:r>
      <w:r w:rsidRPr="00707920">
        <w:rPr>
          <w:rFonts w:ascii="David" w:hAnsi="David"/>
        </w:rPr>
        <w:t xml:space="preserve"> </w:t>
      </w:r>
      <w:r w:rsidRPr="00707920">
        <w:rPr>
          <w:rFonts w:ascii="David" w:hAnsi="David"/>
          <w:rtl/>
        </w:rPr>
        <w:t xml:space="preserve">פירוט נוסף מצוי בהמשך לנוכח טענות הצדדים לקיום השתק כלפי הגרושה הראשונה בהן דנתי למעלה מהצורך ושמצאתי שכלפיה אין השתק.  </w:t>
      </w:r>
    </w:p>
    <w:p w14:paraId="4742C264" w14:textId="138AEC4F" w:rsidR="00707920" w:rsidRPr="00707920" w:rsidRDefault="00707920" w:rsidP="0014119A">
      <w:pPr>
        <w:numPr>
          <w:ilvl w:val="0"/>
          <w:numId w:val="2"/>
        </w:numPr>
        <w:suppressLineNumbers/>
        <w:ind w:hanging="531"/>
        <w:contextualSpacing/>
        <w:jc w:val="both"/>
        <w:rPr>
          <w:rFonts w:ascii="David" w:hAnsi="David"/>
        </w:rPr>
      </w:pPr>
      <w:r w:rsidRPr="00707920">
        <w:rPr>
          <w:rFonts w:ascii="David" w:hAnsi="David"/>
          <w:rtl/>
        </w:rPr>
        <w:t xml:space="preserve">אחדד ואבהיר גם שהגרושה הראשונה, אינה שותפה בזכויות המהותיות בנכס  מכוח העיקול אף  אם העיקול  נותר על כנו </w:t>
      </w:r>
      <w:r w:rsidRPr="00707920">
        <w:rPr>
          <w:rFonts w:ascii="David" w:hAnsi="David"/>
        </w:rPr>
        <w:t xml:space="preserve"> </w:t>
      </w:r>
      <w:r w:rsidRPr="00707920">
        <w:rPr>
          <w:rFonts w:ascii="David" w:hAnsi="David"/>
          <w:rtl/>
        </w:rPr>
        <w:t xml:space="preserve">.  בהקשר הזה ,אפנה גם לטעמים הבאים הנעוצים במהות השיתוף ובמהות העיקול : א. כאמור בבספר היסודי בדיני קנין יהושע ויסמן </w:t>
      </w:r>
      <w:r w:rsidRPr="00707920">
        <w:rPr>
          <w:rFonts w:ascii="David" w:hAnsi="David"/>
          <w:b/>
          <w:bCs/>
          <w:rtl/>
        </w:rPr>
        <w:t>דיני קניין</w:t>
      </w:r>
      <w:r w:rsidRPr="00707920">
        <w:rPr>
          <w:rFonts w:ascii="David" w:hAnsi="David"/>
          <w:rtl/>
        </w:rPr>
        <w:t xml:space="preserve"> </w:t>
      </w:r>
      <w:r w:rsidRPr="00707920">
        <w:rPr>
          <w:rFonts w:ascii="David" w:hAnsi="David"/>
          <w:b/>
          <w:bCs/>
          <w:rtl/>
        </w:rPr>
        <w:t>– בעלות ושיתוף</w:t>
      </w:r>
      <w:r w:rsidRPr="00707920">
        <w:rPr>
          <w:rFonts w:ascii="David" w:hAnsi="David"/>
        </w:rPr>
        <w:t xml:space="preserve"> 125-127  </w:t>
      </w:r>
      <w:r w:rsidRPr="00707920">
        <w:rPr>
          <w:rFonts w:ascii="David" w:hAnsi="David"/>
          <w:rtl/>
        </w:rPr>
        <w:t>(כרך ב, 1997)  להלן:"</w:t>
      </w:r>
      <w:r w:rsidRPr="00707920">
        <w:rPr>
          <w:rFonts w:ascii="David" w:hAnsi="David"/>
          <w:b/>
          <w:bCs/>
          <w:rtl/>
        </w:rPr>
        <w:t>ויסמן</w:t>
      </w:r>
      <w:r w:rsidRPr="00707920">
        <w:rPr>
          <w:rFonts w:ascii="David" w:hAnsi="David"/>
          <w:rtl/>
        </w:rPr>
        <w:t xml:space="preserve">")   קיומה של בעלות משותפת מותנית בכך שלשותפים יש זכות זהה בנכס , שהזכות האמורה היא בעלות, וכי הנכס נשוא זכותם של הבעלים זהה  בהמשך דבריו מציין שלפי מימד הזמן נדרש </w:t>
      </w:r>
      <w:r w:rsidRPr="00707920">
        <w:rPr>
          <w:rFonts w:ascii="David" w:hAnsi="David"/>
        </w:rPr>
        <w:t xml:space="preserve"> </w:t>
      </w:r>
      <w:r w:rsidRPr="00707920">
        <w:rPr>
          <w:rFonts w:ascii="David" w:hAnsi="David"/>
          <w:rtl/>
        </w:rPr>
        <w:t>קיום בו זמני של בעלות משותפת . במקרה דנן כעולה מהאמור  לעיל  נעדרים המאפיינים היסודיים אלה של השיתוף: א.  ליחיד מחמת פסק הדי של כב' השופט שפסר, כבר אין זכות אובליגטורית  להירשם  כבעלים בנכס  ב. גם אם אתייחס לזכות הגרושה הראשונה הרי שהיא עיקול  ולא זכות מהותית בנכס,וממילא אינה הזכות אובליגטורית להירשם  כבעלים כנכס.   על היות העיקול כלי דיוני  ראו כב' השופט מינץ ברע"א 8364/19 </w:t>
      </w:r>
      <w:r w:rsidRPr="0014119A">
        <w:rPr>
          <w:rFonts w:ascii="David" w:hAnsi="David"/>
          <w:b/>
          <w:bCs/>
          <w:rtl/>
        </w:rPr>
        <w:t>שפילמן שולמית ו-62 אח'</w:t>
      </w:r>
      <w:r w:rsidRPr="00707920">
        <w:rPr>
          <w:rFonts w:ascii="David" w:hAnsi="David"/>
          <w:rtl/>
        </w:rPr>
        <w:t xml:space="preserve"> נ' </w:t>
      </w:r>
      <w:r w:rsidRPr="00707920">
        <w:rPr>
          <w:rFonts w:ascii="David" w:hAnsi="David"/>
          <w:b/>
          <w:bCs/>
          <w:rtl/>
        </w:rPr>
        <w:t>עו"ד עופר שפירא ואיתי הס, בתפקידם כנאמנים של א.דורי בניה בע"מ</w:t>
      </w:r>
      <w:r w:rsidRPr="00707920">
        <w:rPr>
          <w:rFonts w:ascii="David" w:hAnsi="David"/>
          <w:rtl/>
        </w:rPr>
        <w:t> (נבו 06.01.2020)‏( פסקה 13)</w:t>
      </w:r>
      <w:r w:rsidR="0014119A">
        <w:rPr>
          <w:rFonts w:ascii="David" w:hAnsi="David" w:hint="cs"/>
          <w:rtl/>
        </w:rPr>
        <w:t xml:space="preserve">וכן </w:t>
      </w:r>
      <w:r w:rsidRPr="00707920">
        <w:rPr>
          <w:rFonts w:ascii="David" w:hAnsi="David"/>
          <w:rtl/>
        </w:rPr>
        <w:t xml:space="preserve">  ראו אבי וינרוט, דיני קניין - פרקי יסוד (מהד' 2, 2020) פרק א: זכות קניינית מויל זכות אובליגטורית. בכל אופן הנאמן</w:t>
      </w:r>
      <w:r w:rsidR="0014119A">
        <w:rPr>
          <w:rFonts w:ascii="David" w:hAnsi="David" w:hint="cs"/>
          <w:rtl/>
        </w:rPr>
        <w:t>,</w:t>
      </w:r>
      <w:r w:rsidRPr="00707920">
        <w:rPr>
          <w:rFonts w:ascii="David" w:hAnsi="David"/>
          <w:rtl/>
        </w:rPr>
        <w:t xml:space="preserve"> אינו יכול להכנס בנעליה מכוח בקשה לפירוק שיתוף</w:t>
      </w:r>
      <w:r w:rsidRPr="00707920">
        <w:rPr>
          <w:rFonts w:ascii="David" w:hAnsi="David"/>
        </w:rPr>
        <w:t xml:space="preserve"> </w:t>
      </w:r>
      <w:r w:rsidRPr="00707920">
        <w:rPr>
          <w:rFonts w:ascii="David" w:hAnsi="David"/>
          <w:rtl/>
        </w:rPr>
        <w:t>.</w:t>
      </w:r>
    </w:p>
    <w:p w14:paraId="67284FDE" w14:textId="77777777" w:rsidR="00707920" w:rsidRPr="00707920" w:rsidRDefault="00707920" w:rsidP="00707920">
      <w:pPr>
        <w:suppressLineNumbers/>
        <w:ind w:left="501"/>
        <w:contextualSpacing/>
        <w:jc w:val="both"/>
        <w:rPr>
          <w:rFonts w:ascii="David" w:hAnsi="David"/>
        </w:rPr>
      </w:pPr>
    </w:p>
    <w:p w14:paraId="108CD3D0" w14:textId="77777777" w:rsidR="00707920" w:rsidRPr="00707920" w:rsidRDefault="00707920" w:rsidP="00707920">
      <w:pPr>
        <w:numPr>
          <w:ilvl w:val="0"/>
          <w:numId w:val="2"/>
        </w:numPr>
        <w:suppressLineNumbers/>
        <w:ind w:hanging="531"/>
        <w:contextualSpacing/>
        <w:jc w:val="both"/>
        <w:rPr>
          <w:rFonts w:ascii="David" w:hAnsi="David"/>
          <w:b/>
          <w:bCs/>
          <w:u w:val="single"/>
        </w:rPr>
      </w:pPr>
      <w:r w:rsidRPr="00707920">
        <w:rPr>
          <w:rFonts w:ascii="David" w:hAnsi="David"/>
          <w:b/>
          <w:bCs/>
          <w:u w:val="single"/>
          <w:rtl/>
        </w:rPr>
        <w:t xml:space="preserve">די באמור עד עתה כדי להבהיר  מדוע דין הטענה לפירוק שיתוף לפי הדין המצוי  להדחות </w:t>
      </w:r>
    </w:p>
    <w:p w14:paraId="05A69614" w14:textId="77777777" w:rsidR="00707920" w:rsidRPr="00707920" w:rsidRDefault="00707920" w:rsidP="00707920">
      <w:pPr>
        <w:suppressLineNumbers/>
        <w:ind w:left="501"/>
        <w:contextualSpacing/>
        <w:jc w:val="both"/>
        <w:rPr>
          <w:rFonts w:ascii="David" w:hAnsi="David"/>
        </w:rPr>
      </w:pPr>
    </w:p>
    <w:p w14:paraId="62D823A1" w14:textId="77777777" w:rsidR="00707920" w:rsidRPr="00707920" w:rsidRDefault="00707920" w:rsidP="00707920">
      <w:pPr>
        <w:suppressLineNumbers/>
        <w:ind w:left="501"/>
        <w:contextualSpacing/>
        <w:jc w:val="both"/>
        <w:rPr>
          <w:rFonts w:ascii="David" w:hAnsi="David"/>
          <w:rtl/>
        </w:rPr>
      </w:pPr>
      <w:r w:rsidRPr="00707920">
        <w:rPr>
          <w:rFonts w:ascii="David" w:hAnsi="David"/>
          <w:rtl/>
        </w:rPr>
        <w:t xml:space="preserve"> אך  כאמור כדי לסייע ולנוכח הטענות ההדדיות אתייחס גם להיבטים הנוספים  להלן.</w:t>
      </w:r>
    </w:p>
    <w:p w14:paraId="18DBB154" w14:textId="77777777" w:rsidR="00707920" w:rsidRPr="00707920" w:rsidRDefault="00707920" w:rsidP="00707920">
      <w:pPr>
        <w:pStyle w:val="3"/>
        <w:rPr>
          <w:rFonts w:ascii="David" w:hAnsi="David" w:cs="David"/>
        </w:rPr>
      </w:pPr>
      <w:r w:rsidRPr="00707920">
        <w:rPr>
          <w:rFonts w:ascii="David" w:hAnsi="David" w:cs="David"/>
          <w:rtl/>
        </w:rPr>
        <w:t xml:space="preserve"> </w:t>
      </w:r>
    </w:p>
    <w:p w14:paraId="3F2EB530" w14:textId="77777777" w:rsidR="00707920" w:rsidRPr="00707920" w:rsidRDefault="00707920" w:rsidP="00707920">
      <w:pPr>
        <w:pStyle w:val="3"/>
        <w:rPr>
          <w:rFonts w:ascii="David" w:hAnsi="David" w:cs="David"/>
          <w:rtl/>
        </w:rPr>
      </w:pPr>
      <w:r w:rsidRPr="00707920">
        <w:rPr>
          <w:rFonts w:ascii="David" w:hAnsi="David" w:cs="David"/>
        </w:rPr>
        <w:t xml:space="preserve"> </w:t>
      </w:r>
      <w:bookmarkStart w:id="26" w:name="_Toc168898773"/>
      <w:r w:rsidRPr="00707920">
        <w:rPr>
          <w:rFonts w:ascii="David" w:hAnsi="David" w:cs="David"/>
          <w:rtl/>
        </w:rPr>
        <w:t>ה(3) מעבר לנחוץ אציין שלא ניתן לטעון לעדיפותו של בעל ההתחייבות מכוח הלכת אהרונוב הנ"ל כי העיקול שהטילה הגרושה הראשונה מכוח הליך  ההוצל"פ קדם בזמן וגובר  .</w:t>
      </w:r>
      <w:bookmarkEnd w:id="26"/>
    </w:p>
    <w:p w14:paraId="7DE9CBD3" w14:textId="77777777" w:rsidR="00707920" w:rsidRPr="00707920" w:rsidRDefault="00707920" w:rsidP="00707920">
      <w:pPr>
        <w:suppressLineNumbers/>
        <w:ind w:left="501"/>
        <w:contextualSpacing/>
        <w:jc w:val="both"/>
        <w:rPr>
          <w:rFonts w:ascii="David" w:hAnsi="David"/>
        </w:rPr>
      </w:pPr>
    </w:p>
    <w:p w14:paraId="0D3D523F" w14:textId="77777777" w:rsidR="00707920" w:rsidRPr="00707920" w:rsidRDefault="00707920" w:rsidP="00707920">
      <w:pPr>
        <w:numPr>
          <w:ilvl w:val="0"/>
          <w:numId w:val="2"/>
        </w:numPr>
        <w:suppressLineNumbers/>
        <w:ind w:hanging="531"/>
        <w:contextualSpacing/>
        <w:jc w:val="both"/>
        <w:rPr>
          <w:rFonts w:ascii="David" w:hAnsi="David"/>
        </w:rPr>
      </w:pPr>
      <w:r w:rsidRPr="00707920">
        <w:rPr>
          <w:rFonts w:ascii="David" w:hAnsi="David"/>
          <w:rtl/>
        </w:rPr>
        <w:t>בעלי התפקיד ,בניגוד לעמדת היחיד  והגרושה  השניה מאוחדים בדעה,  שהעיקול  שקדם בזמן תקף  ואין עדיפות לגרושה השניה על  הגרושה הראשונה לגבי  הזכויות שעוקלו – עמדתם מקובלת עליי במישור היחסים שבין הגרושות  .</w:t>
      </w:r>
    </w:p>
    <w:p w14:paraId="0488E048" w14:textId="77777777" w:rsidR="00707920" w:rsidRPr="00707920" w:rsidRDefault="00707920" w:rsidP="00707920">
      <w:pPr>
        <w:numPr>
          <w:ilvl w:val="1"/>
          <w:numId w:val="2"/>
        </w:numPr>
        <w:suppressLineNumbers/>
        <w:contextualSpacing/>
        <w:jc w:val="both"/>
        <w:rPr>
          <w:rFonts w:ascii="David" w:hAnsi="David"/>
        </w:rPr>
      </w:pPr>
      <w:r w:rsidRPr="00707920">
        <w:rPr>
          <w:rFonts w:ascii="David" w:hAnsi="David"/>
          <w:rtl/>
        </w:rPr>
        <w:lastRenderedPageBreak/>
        <w:t>מהבחינה העובדתית לתוצאה הזאת מובילות הנסיבות העובדתיות העיקריות הבאות : א.</w:t>
      </w:r>
      <w:r w:rsidRPr="00707920">
        <w:rPr>
          <w:rFonts w:ascii="David" w:hAnsi="David"/>
        </w:rPr>
        <w:t xml:space="preserve"> </w:t>
      </w:r>
      <w:r w:rsidRPr="00707920">
        <w:rPr>
          <w:rFonts w:ascii="David" w:hAnsi="David"/>
          <w:rtl/>
        </w:rPr>
        <w:t>הכרונולוגיה שלפיה עיקול קדם בזמן  להעברת הזכויות לגרושה השניה ב .ב</w:t>
      </w:r>
      <w:r w:rsidRPr="00707920">
        <w:rPr>
          <w:rFonts w:ascii="David" w:hAnsi="David"/>
        </w:rPr>
        <w:t xml:space="preserve"> </w:t>
      </w:r>
      <w:r w:rsidRPr="00707920">
        <w:rPr>
          <w:rFonts w:ascii="David" w:hAnsi="David"/>
          <w:rtl/>
        </w:rPr>
        <w:t xml:space="preserve">היות </w:t>
      </w:r>
      <w:r w:rsidRPr="00707920">
        <w:rPr>
          <w:rFonts w:ascii="David" w:hAnsi="David"/>
        </w:rPr>
        <w:t xml:space="preserve"> </w:t>
      </w:r>
      <w:r w:rsidRPr="00707920">
        <w:rPr>
          <w:rFonts w:ascii="David" w:hAnsi="David"/>
          <w:rtl/>
        </w:rPr>
        <w:t>העיקול היה ידוע  לגרושה השניה ג. רישום העיקול  ברמ"י  .</w:t>
      </w:r>
    </w:p>
    <w:p w14:paraId="1210CFC6" w14:textId="77777777" w:rsidR="00707920" w:rsidRPr="00707920" w:rsidRDefault="00707920" w:rsidP="00707920">
      <w:pPr>
        <w:numPr>
          <w:ilvl w:val="1"/>
          <w:numId w:val="2"/>
        </w:numPr>
        <w:suppressLineNumbers/>
        <w:contextualSpacing/>
        <w:jc w:val="both"/>
        <w:rPr>
          <w:rFonts w:ascii="David" w:hAnsi="David"/>
        </w:rPr>
      </w:pPr>
      <w:r w:rsidRPr="00707920">
        <w:rPr>
          <w:rFonts w:ascii="David" w:hAnsi="David"/>
          <w:rtl/>
        </w:rPr>
        <w:t xml:space="preserve">מבחינה משפטית, אין להעדיף את בעל התחייבות מכוח </w:t>
      </w:r>
      <w:r w:rsidRPr="00707920">
        <w:rPr>
          <w:rFonts w:ascii="David" w:hAnsi="David"/>
          <w:b/>
          <w:bCs/>
          <w:rtl/>
        </w:rPr>
        <w:t>עניין  אהרונוב</w:t>
      </w:r>
      <w:r w:rsidRPr="00707920">
        <w:rPr>
          <w:rFonts w:ascii="David" w:hAnsi="David"/>
          <w:rtl/>
        </w:rPr>
        <w:t>"  כי יפות לעניינו קביעות כב' הש' מלצר בע"א 8127/06 </w:t>
      </w:r>
      <w:r w:rsidRPr="00707920">
        <w:rPr>
          <w:rFonts w:ascii="David" w:hAnsi="David"/>
          <w:b/>
          <w:bCs/>
          <w:rtl/>
        </w:rPr>
        <w:t>רינה ברוקס נ' דרורת (י.מצקל) בית מסחר לרפואות בסיטונות בע"מ</w:t>
      </w:r>
      <w:r w:rsidRPr="00707920">
        <w:rPr>
          <w:rFonts w:ascii="David" w:hAnsi="David"/>
          <w:rtl/>
        </w:rPr>
        <w:t> (נבו 22.06.2011)‏‏    ( פסקאות 27-29 )  (לעיל ולהלן :</w:t>
      </w:r>
      <w:r w:rsidRPr="00707920">
        <w:rPr>
          <w:rFonts w:ascii="David" w:hAnsi="David"/>
          <w:b/>
          <w:bCs/>
          <w:rtl/>
        </w:rPr>
        <w:t>"עניין ברוקס")</w:t>
      </w:r>
      <w:r w:rsidRPr="00707920">
        <w:rPr>
          <w:rFonts w:ascii="David" w:hAnsi="David"/>
          <w:rtl/>
        </w:rPr>
        <w:t xml:space="preserve"> ואביא מתוכן את הדברים הבאים:" 27.          במצב שלפנינו, מחד גיסא, הטיל כבר בית המשפט עיקול זמני על זכויות ברוקס בנכס, קודם להעברת זכויות ברוקס בנכס למערערת, ומכאן שלא ניתן לטעון לעדיפותו של בעל ההתחייבות מכוח הלכת אהרונוב הנ"ל. מאידך גיסא, העיקול לא היה רשום בעת מתן ההתחייבות להעברת הנכס לידי צד שלישי ועל כן אין הוא מקנה עדיפות לטובת המעקל כלפי כולי עלמא מכוח רישום הצו במרשם. עם זאת ונוכח האמור יש להכריע עדיין בסוגיה מהו מעמדו של מעקל, אשר לזכותו הוטל צו עיקול זמני, שלא נרשם במרשם המקרקעין, אל מול זכותו של מי שהתקשר לרכישת זכויות בנכס במועד מאוחר יותר. 28.          במקרה דנן אין צורך בהכרעתנו בשאלה הכללית של תחולתו של צו עיקול זמני על נכס, שלא נרשם כדין – על רוכשי זכויות בנכס. כאן עסקינן במצב ספציפי, שבו הרוכש מודע לקיומו של העיקול, כפי שנקבע עובדתית בפסק הדין, מושא הערעור. במצב דברים זה, הרי שיש לקבוע כי זכויותיו של רוכש הזכויות בנכס יהיו כפופות לזכויותיו של המעקל הקודם בזמן. תוצאה זו ניתן לעגן בשתי קונסטרוקציות משפטיות שונות, כפי שאבהיר להלן:   (א)      הקונסטרוקציה הראשונה מבוססת על היקש מדיני העסקאות הנוגדות לפי סעיף 9 לחוק המקרקעין. ...ב)      קונסטרוקציה שנייה, שניתן לבסס עליה תוצאה זו היא עיקרון תום הלב, המצוי "בצופן הגנטי" של כל הפעולות המשפטיות למיניהן (ראו: רע"א 6339/97 רוקר נ' סלומון, פ"ד נה(1) 199 (1999)). ... במצב בו ידע הרוכש על העיקול, זכויותיו  אמורות להיות כפופות לזכויות המעקל, ואין חשיבות לשאלה האם הרוכש יודע על העיקול על יסוד בדיקת הרישום במרשם המקרקעין, או ממקור אחר. בהתאם לכך, מי שיודע על צו עיקול, שרק עקב טעות נמחקו פרטיו מן המרשם – לא יישמע</w:t>
      </w:r>
      <w:r w:rsidRPr="00707920">
        <w:rPr>
          <w:rFonts w:ascii="David" w:hAnsi="David"/>
        </w:rPr>
        <w:t>"</w:t>
      </w:r>
      <w:r w:rsidRPr="00707920">
        <w:rPr>
          <w:rFonts w:ascii="David" w:hAnsi="David"/>
          <w:rtl/>
        </w:rPr>
        <w:t>לטענה שעיקול מוקדם  של צד ג גובר על  עסקה נוגדת באופן דומה על האפשרות לרשום מכוח פסק בוררות את זכות הגרושה על כל הנכס למרות העיקול." .</w:t>
      </w:r>
    </w:p>
    <w:p w14:paraId="29FF9973" w14:textId="77777777" w:rsidR="00707920" w:rsidRPr="00707920" w:rsidRDefault="00707920" w:rsidP="00707920">
      <w:pPr>
        <w:numPr>
          <w:ilvl w:val="1"/>
          <w:numId w:val="2"/>
        </w:numPr>
        <w:suppressLineNumbers/>
        <w:contextualSpacing/>
        <w:jc w:val="both"/>
        <w:rPr>
          <w:rFonts w:ascii="David" w:hAnsi="David"/>
        </w:rPr>
      </w:pPr>
      <w:r w:rsidRPr="00707920">
        <w:rPr>
          <w:rFonts w:ascii="David" w:hAnsi="David"/>
          <w:rtl/>
        </w:rPr>
        <w:t>השוו גם כב' השופט הנדל  בע"א 8150/19 </w:t>
      </w:r>
      <w:r w:rsidRPr="00707920">
        <w:rPr>
          <w:rFonts w:ascii="David" w:hAnsi="David"/>
          <w:b/>
          <w:bCs/>
          <w:rtl/>
        </w:rPr>
        <w:t>עזרא הררי רפול נ' שבתאי (סרז') מיל</w:t>
      </w:r>
      <w:r w:rsidRPr="00707920">
        <w:rPr>
          <w:rFonts w:ascii="David" w:hAnsi="David"/>
          <w:rtl/>
        </w:rPr>
        <w:t xml:space="preserve">ר (נבו 19.08.2021)‏‏ (פסקה 22) : "עם זאת, אין חולק כי המשיב ידע על הפסק השלישי, כמו גם על הפסק הראשון, ולפיכך על אחריות היזמים ל"תקלה" ועל העיקולים ההדדיים, בעת רכישת זכויות היזמים. לפיכך, אין הוא יכול להתכחש לעיקולים ההדדיים, </w:t>
      </w:r>
      <w:r w:rsidRPr="00707920">
        <w:rPr>
          <w:rFonts w:ascii="David" w:hAnsi="David"/>
          <w:u w:val="single"/>
          <w:rtl/>
        </w:rPr>
        <w:t>ואין באפשרותו לטעון כי</w:t>
      </w:r>
      <w:r w:rsidRPr="00707920">
        <w:rPr>
          <w:rFonts w:ascii="David" w:hAnsi="David"/>
          <w:rtl/>
        </w:rPr>
        <w:t xml:space="preserve"> זכותו כרוכש גוברת על העיקול מכוח הלכת ע"א 189/95 בנק אוצר החייל בע"מ נ' אהרונוב, פ"ד נג(4) 199 (1999), אשר עסק כידוע בתחרות בין רוכש מוקדם למעקל מאוחר, ולא במצב הדברים ההפוך (וראו ע"א 8127/06 ברוקס נ' דורות (י.מצקל) בית מסחר לרפואות בסיטונות בע"מ [פורסם בנבו</w:t>
      </w:r>
      <w:r w:rsidRPr="00707920">
        <w:rPr>
          <w:rFonts w:ascii="David" w:hAnsi="David"/>
        </w:rPr>
        <w:t xml:space="preserve"> </w:t>
      </w:r>
      <w:r w:rsidRPr="00707920">
        <w:rPr>
          <w:rFonts w:ascii="David" w:hAnsi="David"/>
          <w:rtl/>
        </w:rPr>
        <w:t>( הדגשה לא במקור א. ב.)</w:t>
      </w:r>
    </w:p>
    <w:p w14:paraId="4DAEA54C" w14:textId="77777777" w:rsidR="00707920" w:rsidRPr="00707920" w:rsidRDefault="00707920" w:rsidP="00707920">
      <w:pPr>
        <w:numPr>
          <w:ilvl w:val="1"/>
          <w:numId w:val="2"/>
        </w:numPr>
        <w:suppressLineNumbers/>
        <w:contextualSpacing/>
        <w:jc w:val="both"/>
        <w:rPr>
          <w:rFonts w:ascii="David" w:hAnsi="David"/>
        </w:rPr>
      </w:pPr>
      <w:r w:rsidRPr="00707920">
        <w:rPr>
          <w:rFonts w:ascii="David" w:hAnsi="David"/>
          <w:rtl/>
        </w:rPr>
        <w:t xml:space="preserve">יתירה מכך,  במקרה שלנו דומה שהתוצאה אף מובהקת יותר מבעניין ברוקס כי   העיקול כבר  היה רשום </w:t>
      </w:r>
      <w:r w:rsidRPr="00707920">
        <w:rPr>
          <w:rFonts w:ascii="David" w:hAnsi="David"/>
        </w:rPr>
        <w:t xml:space="preserve"> </w:t>
      </w:r>
      <w:r w:rsidRPr="00707920">
        <w:rPr>
          <w:rFonts w:ascii="David" w:hAnsi="David"/>
          <w:rtl/>
        </w:rPr>
        <w:t xml:space="preserve"> על שם הגרושה השניה ,  בעת הניסיון להעביר את מלוא הזכויות רק לגרושה השניה </w:t>
      </w:r>
      <w:r w:rsidRPr="00707920">
        <w:rPr>
          <w:rFonts w:ascii="David" w:hAnsi="David"/>
          <w:b/>
          <w:bCs/>
          <w:rtl/>
        </w:rPr>
        <w:t>.</w:t>
      </w:r>
    </w:p>
    <w:p w14:paraId="40082A41" w14:textId="77777777" w:rsidR="00707920" w:rsidRPr="00707920" w:rsidRDefault="00707920" w:rsidP="00707920">
      <w:pPr>
        <w:numPr>
          <w:ilvl w:val="0"/>
          <w:numId w:val="2"/>
        </w:numPr>
        <w:suppressLineNumbers/>
        <w:ind w:hanging="531"/>
        <w:contextualSpacing/>
        <w:jc w:val="both"/>
        <w:rPr>
          <w:rFonts w:ascii="David" w:hAnsi="David"/>
        </w:rPr>
      </w:pPr>
      <w:r w:rsidRPr="00707920">
        <w:rPr>
          <w:rFonts w:ascii="David" w:hAnsi="David"/>
          <w:rtl/>
        </w:rPr>
        <w:t>עמדת בעלי התפקיד ,</w:t>
      </w:r>
      <w:r w:rsidRPr="00707920">
        <w:rPr>
          <w:rFonts w:ascii="David" w:hAnsi="David"/>
        </w:rPr>
        <w:t xml:space="preserve">  </w:t>
      </w:r>
      <w:r w:rsidRPr="00707920">
        <w:rPr>
          <w:rFonts w:ascii="David" w:hAnsi="David"/>
          <w:rtl/>
        </w:rPr>
        <w:t>אינה מנוגדת גם בעיני, לפסק הדין שהורה על רישום זכויות על שם הגרושה השנייה</w:t>
      </w:r>
      <w:r w:rsidRPr="00707920">
        <w:rPr>
          <w:rFonts w:ascii="David" w:hAnsi="David"/>
        </w:rPr>
        <w:t xml:space="preserve"> </w:t>
      </w:r>
      <w:r w:rsidRPr="00707920">
        <w:rPr>
          <w:rFonts w:ascii="David" w:hAnsi="David"/>
          <w:rtl/>
        </w:rPr>
        <w:t>בה"</w:t>
      </w:r>
      <w:r w:rsidRPr="00707920">
        <w:rPr>
          <w:rFonts w:ascii="David" w:hAnsi="David"/>
          <w:b/>
          <w:bCs/>
          <w:rtl/>
        </w:rPr>
        <w:t xml:space="preserve">פ 68985-05-18   </w:t>
      </w:r>
      <w:r w:rsidRPr="00707920">
        <w:rPr>
          <w:rFonts w:ascii="David" w:hAnsi="David"/>
          <w:rtl/>
        </w:rPr>
        <w:t xml:space="preserve">מהסיבות הבאות : א. פסק הדין הזה </w:t>
      </w:r>
      <w:r w:rsidRPr="00707920">
        <w:rPr>
          <w:rFonts w:ascii="David" w:hAnsi="David"/>
          <w:b/>
          <w:bCs/>
        </w:rPr>
        <w:t xml:space="preserve"> </w:t>
      </w:r>
      <w:r w:rsidRPr="00707920">
        <w:rPr>
          <w:rFonts w:ascii="David" w:hAnsi="David"/>
        </w:rPr>
        <w:t xml:space="preserve"> </w:t>
      </w:r>
      <w:r w:rsidRPr="00707920">
        <w:rPr>
          <w:rFonts w:ascii="David" w:hAnsi="David"/>
          <w:rtl/>
        </w:rPr>
        <w:t xml:space="preserve"> לא דן, ולא הכריע , בתחרות ש.בין זכות  הגרושה השניה לבין זכות הגרושה הראשונה. ב. פסק הדין הזה אומנם הורה על צו לרשות מקרקעי ישראל מחוז מרכז לרשום על שם המבקשת את הזכויות שרשומות על שם המשיב  אבל  במסגרת ההחלטה הקצרה נכתב במפורש שהוא  "</w:t>
      </w:r>
      <w:r w:rsidRPr="00707920">
        <w:rPr>
          <w:rFonts w:ascii="David" w:hAnsi="David"/>
          <w:b/>
          <w:bCs/>
          <w:rtl/>
        </w:rPr>
        <w:t>בהעדר התנגדות מצד מי מהמשיבים"</w:t>
      </w:r>
      <w:r w:rsidRPr="00707920">
        <w:rPr>
          <w:rFonts w:ascii="David" w:hAnsi="David"/>
          <w:rtl/>
        </w:rPr>
        <w:t xml:space="preserve"> והובהר כי "</w:t>
      </w:r>
      <w:r w:rsidRPr="00707920">
        <w:rPr>
          <w:rFonts w:ascii="David" w:hAnsi="David"/>
          <w:b/>
          <w:bCs/>
          <w:rtl/>
        </w:rPr>
        <w:t>הרישום יעשה בהתאם לנוהלי הרשות</w:t>
      </w:r>
      <w:r w:rsidRPr="00707920">
        <w:rPr>
          <w:rFonts w:ascii="David" w:hAnsi="David"/>
          <w:rtl/>
        </w:rPr>
        <w:t>" .הרישום הזה טרם הושלם. ג. וכאמור, הגרושה הראשונה כלל לא הייתה צד להליך לפיכך וממילא לא הכריע אחרת מהאמור</w:t>
      </w:r>
      <w:r w:rsidRPr="00707920">
        <w:rPr>
          <w:rFonts w:ascii="David" w:hAnsi="David"/>
          <w:b/>
          <w:bCs/>
          <w:rtl/>
        </w:rPr>
        <w:t xml:space="preserve"> בענין בוקר.</w:t>
      </w:r>
      <w:r w:rsidRPr="00707920">
        <w:rPr>
          <w:rFonts w:ascii="David" w:hAnsi="David"/>
        </w:rPr>
        <w:t xml:space="preserve"> </w:t>
      </w:r>
      <w:r w:rsidRPr="00707920">
        <w:rPr>
          <w:rFonts w:ascii="David" w:hAnsi="David"/>
          <w:rtl/>
        </w:rPr>
        <w:t xml:space="preserve"> </w:t>
      </w:r>
    </w:p>
    <w:p w14:paraId="1449CAB2" w14:textId="77777777" w:rsidR="00707920" w:rsidRPr="00707920" w:rsidRDefault="00707920" w:rsidP="00707920">
      <w:pPr>
        <w:pStyle w:val="3"/>
        <w:rPr>
          <w:rFonts w:ascii="David" w:hAnsi="David" w:cs="David"/>
          <w:rtl/>
        </w:rPr>
      </w:pPr>
      <w:bookmarkStart w:id="27" w:name="_Toc168898774"/>
      <w:r w:rsidRPr="00707920">
        <w:rPr>
          <w:rFonts w:ascii="David" w:hAnsi="David" w:cs="David"/>
          <w:rtl/>
        </w:rPr>
        <w:t>ה(4) פסק הבוררות  - לא יצר מעשה בית דין כלפי הגרושה הראשונה בראש  וראשונה כי לא הייתה צד לו ואין לה "קרבה משפטית" עם מי מהצדדים לו  אך גם מנימוקים נוספים שיפורטו להלן</w:t>
      </w:r>
      <w:bookmarkEnd w:id="27"/>
    </w:p>
    <w:p w14:paraId="6DF1C24A" w14:textId="77777777" w:rsidR="00707920" w:rsidRPr="00707920" w:rsidRDefault="00707920" w:rsidP="00707920">
      <w:pPr>
        <w:ind w:left="165"/>
        <w:rPr>
          <w:rFonts w:ascii="David" w:hAnsi="David"/>
          <w:rtl/>
        </w:rPr>
      </w:pPr>
    </w:p>
    <w:p w14:paraId="6EB7707D" w14:textId="77777777" w:rsidR="00707920" w:rsidRPr="00707920" w:rsidRDefault="00707920" w:rsidP="00707920">
      <w:pPr>
        <w:numPr>
          <w:ilvl w:val="0"/>
          <w:numId w:val="2"/>
        </w:numPr>
        <w:suppressLineNumbers/>
        <w:ind w:hanging="531"/>
        <w:contextualSpacing/>
        <w:jc w:val="both"/>
        <w:rPr>
          <w:rFonts w:ascii="David" w:hAnsi="David"/>
          <w:rtl/>
        </w:rPr>
      </w:pPr>
      <w:r w:rsidRPr="00707920">
        <w:rPr>
          <w:rFonts w:ascii="David" w:hAnsi="David"/>
          <w:rtl/>
        </w:rPr>
        <w:t xml:space="preserve">הנאמן, התייחס לכך שטענה עיקרית העולה מתגובות היחיד והגרושה השניה ,היא שהענין כבר נדון והוכרע. </w:t>
      </w:r>
      <w:r w:rsidRPr="00707920">
        <w:rPr>
          <w:rFonts w:ascii="David" w:hAnsi="David"/>
        </w:rPr>
        <w:t xml:space="preserve"> </w:t>
      </w:r>
    </w:p>
    <w:p w14:paraId="0E6362ED" w14:textId="77777777" w:rsidR="00707920" w:rsidRPr="00707920" w:rsidRDefault="00707920" w:rsidP="00707920">
      <w:pPr>
        <w:suppressLineNumbers/>
        <w:ind w:left="501"/>
        <w:contextualSpacing/>
        <w:jc w:val="both"/>
        <w:rPr>
          <w:rFonts w:ascii="David" w:hAnsi="David"/>
        </w:rPr>
      </w:pPr>
      <w:r w:rsidRPr="00707920">
        <w:rPr>
          <w:rFonts w:ascii="David" w:hAnsi="David"/>
          <w:rtl/>
        </w:rPr>
        <w:t xml:space="preserve">אולם, כמפורט להלן, לא נוצר מעשה בית דין ואף לא נוצר השתק כלשהוא ,מכוח ההליכים המאוחרים לעיקול ולפיכך אין בכוחם </w:t>
      </w:r>
      <w:r w:rsidRPr="00707920">
        <w:rPr>
          <w:rFonts w:ascii="David" w:hAnsi="David"/>
        </w:rPr>
        <w:t xml:space="preserve"> </w:t>
      </w:r>
      <w:r w:rsidRPr="00707920">
        <w:rPr>
          <w:rFonts w:ascii="David" w:hAnsi="David"/>
          <w:rtl/>
        </w:rPr>
        <w:t>להשתיק את  הגרושה הראשונה .</w:t>
      </w:r>
      <w:r w:rsidRPr="00707920">
        <w:rPr>
          <w:rFonts w:ascii="David" w:hAnsi="David"/>
        </w:rPr>
        <w:t xml:space="preserve"> </w:t>
      </w:r>
      <w:r w:rsidRPr="00707920">
        <w:rPr>
          <w:rFonts w:ascii="David" w:hAnsi="David"/>
          <w:rtl/>
        </w:rPr>
        <w:t xml:space="preserve"> להלן, על רקע המחלוקת אפרט  זאת ,שלב אחר שלב: </w:t>
      </w:r>
    </w:p>
    <w:p w14:paraId="15D6C6C9" w14:textId="77777777" w:rsidR="00707920" w:rsidRPr="00707920" w:rsidRDefault="00707920" w:rsidP="00707920">
      <w:pPr>
        <w:numPr>
          <w:ilvl w:val="0"/>
          <w:numId w:val="2"/>
        </w:numPr>
        <w:suppressLineNumbers/>
        <w:ind w:hanging="531"/>
        <w:contextualSpacing/>
        <w:jc w:val="both"/>
        <w:rPr>
          <w:rFonts w:ascii="David" w:hAnsi="David"/>
          <w:sz w:val="2"/>
          <w:szCs w:val="22"/>
        </w:rPr>
      </w:pPr>
      <w:r w:rsidRPr="00707920">
        <w:rPr>
          <w:rFonts w:ascii="David" w:hAnsi="David"/>
          <w:b/>
          <w:bCs/>
          <w:u w:val="single"/>
          <w:rtl/>
        </w:rPr>
        <w:t xml:space="preserve">ראשית, </w:t>
      </w:r>
      <w:r w:rsidRPr="00707920">
        <w:rPr>
          <w:rFonts w:ascii="David" w:hAnsi="David"/>
          <w:rtl/>
        </w:rPr>
        <w:t xml:space="preserve">אציין שטענה לבחינה על הסף מחמת פסק בוררות </w:t>
      </w:r>
      <w:r w:rsidRPr="00707920">
        <w:rPr>
          <w:rFonts w:ascii="David" w:hAnsi="David"/>
        </w:rPr>
        <w:t xml:space="preserve"> </w:t>
      </w:r>
      <w:r w:rsidRPr="00707920">
        <w:rPr>
          <w:rFonts w:ascii="David" w:hAnsi="David"/>
          <w:rtl/>
        </w:rPr>
        <w:t xml:space="preserve">נבחנת בזהירות , גם כלפי מי שאכן, היו צדדים להליך </w:t>
      </w:r>
      <w:r w:rsidRPr="00707920">
        <w:rPr>
          <w:rFonts w:ascii="David" w:hAnsi="David"/>
        </w:rPr>
        <w:t xml:space="preserve"> </w:t>
      </w:r>
      <w:r w:rsidRPr="00707920">
        <w:rPr>
          <w:rFonts w:ascii="David" w:hAnsi="David"/>
          <w:rtl/>
        </w:rPr>
        <w:t xml:space="preserve">כי: "בניגוד להליך בפני בית משפט היוצר תדיר מעשה בית דין, הנה בהליך בוררות מסור הדבר לצדדים (בשעת ההסכמה לבוררות, ואף לאחר מתן הפסק; ראו בג"צ 750/89 שרשרת נ' רשם האגודות השיתופיות (לא פורסם)), ורשאים הם להסכים כי לא יווצר מעשה בית דין" על כך   ראו  כב' השופט רובינשטיין בע"א 5634/05 </w:t>
      </w:r>
      <w:r w:rsidRPr="00707920">
        <w:rPr>
          <w:rFonts w:ascii="David" w:hAnsi="David"/>
          <w:b/>
          <w:bCs/>
          <w:rtl/>
        </w:rPr>
        <w:t>צוקית הכרמל .פרוייקטים בע"מ נ' מיכה צח חברה לקבלנות כללית בע"מ (</w:t>
      </w:r>
      <w:r w:rsidRPr="00707920">
        <w:rPr>
          <w:rFonts w:ascii="David" w:hAnsi="David"/>
          <w:rtl/>
        </w:rPr>
        <w:t xml:space="preserve">נבו 04.06.2007)‏‏  ( פסקה יד)  </w:t>
      </w:r>
      <w:r w:rsidRPr="00707920">
        <w:rPr>
          <w:rFonts w:ascii="David" w:hAnsi="David"/>
          <w:sz w:val="2"/>
          <w:szCs w:val="22"/>
          <w:rtl/>
        </w:rPr>
        <w:t xml:space="preserve"> </w:t>
      </w:r>
    </w:p>
    <w:p w14:paraId="6B94D8B2" w14:textId="77777777" w:rsidR="00707920" w:rsidRPr="00707920" w:rsidRDefault="00707920" w:rsidP="00707920">
      <w:pPr>
        <w:numPr>
          <w:ilvl w:val="0"/>
          <w:numId w:val="2"/>
        </w:numPr>
        <w:suppressLineNumbers/>
        <w:ind w:hanging="531"/>
        <w:contextualSpacing/>
        <w:jc w:val="both"/>
        <w:rPr>
          <w:rFonts w:ascii="David" w:hAnsi="David"/>
        </w:rPr>
      </w:pPr>
      <w:r w:rsidRPr="00707920">
        <w:rPr>
          <w:rFonts w:ascii="David" w:hAnsi="David"/>
          <w:b/>
          <w:bCs/>
          <w:u w:val="single"/>
          <w:rtl/>
        </w:rPr>
        <w:t xml:space="preserve">שנית </w:t>
      </w:r>
      <w:r w:rsidRPr="00707920">
        <w:rPr>
          <w:rFonts w:ascii="David" w:hAnsi="David"/>
          <w:rtl/>
        </w:rPr>
        <w:t xml:space="preserve">, ולגוף הטענה למעשה בית דין, אזכיר שהפסיקה: "קבעה ארבעה תנאים מצטברים אשר בהתקיימם יחול הכלל בדבר השתק פלוגתא: א. הפלוגתא זהה מבחינה עובדתית ומשפטית לפלוגתא שנדונה בהליך הראשון; ב. הפלוגתא הוכרעה בהליך הראשון ונקבע לגביה ממצא פוזיטיבי; ג. הממצא שנקבע בהליך הראשון היה חיוני להכרעה בה; ד. </w:t>
      </w:r>
      <w:r w:rsidRPr="00707920">
        <w:rPr>
          <w:rFonts w:ascii="David" w:hAnsi="David"/>
          <w:rtl/>
        </w:rPr>
        <w:lastRenderedPageBreak/>
        <w:t>קיימת זהות (או "קרבה משפטית") בין בעלי הדין בשני ההליכים</w:t>
      </w:r>
      <w:r w:rsidRPr="00707920">
        <w:rPr>
          <w:rFonts w:ascii="David" w:hAnsi="David"/>
        </w:rPr>
        <w:t xml:space="preserve"> </w:t>
      </w:r>
      <w:r w:rsidRPr="00707920">
        <w:rPr>
          <w:rFonts w:ascii="David" w:hAnsi="David"/>
          <w:rtl/>
        </w:rPr>
        <w:t xml:space="preserve">. על התנאים ר' </w:t>
      </w:r>
      <w:r w:rsidRPr="00707920">
        <w:rPr>
          <w:rFonts w:ascii="David" w:hAnsi="David"/>
          <w:b/>
          <w:bCs/>
          <w:rtl/>
        </w:rPr>
        <w:t>למשל כב' השופטת חיות ברע"א 9771/16 נובל אנרג'י מדיטרניאן לימיטד נ' משה נזרי</w:t>
      </w:r>
      <w:r w:rsidRPr="00707920">
        <w:rPr>
          <w:rFonts w:ascii="David" w:hAnsi="David"/>
          <w:rtl/>
        </w:rPr>
        <w:t> (נבו 28.09.2017) .וכן, השוו גם לניסוח מפי כב' השופט גרוסקופף ברע"א 1739/23 </w:t>
      </w:r>
      <w:r w:rsidRPr="00707920">
        <w:rPr>
          <w:rFonts w:ascii="David" w:hAnsi="David"/>
          <w:b/>
          <w:bCs/>
          <w:rtl/>
        </w:rPr>
        <w:t>אלד פלאנט בע"מ נ' זכאים מנסור</w:t>
      </w:r>
      <w:r w:rsidRPr="00707920">
        <w:rPr>
          <w:rFonts w:ascii="David" w:hAnsi="David"/>
          <w:rtl/>
        </w:rPr>
        <w:t xml:space="preserve"> (נבו 21.05.2023) ( פסקה 5) :"5.         כידוע, מעשה בית דין מסוג השתק פלוגתא קם בהתמלא התנאים הבאים: האחד, קיומה של זהות עובדתית ומשפטית בין הפלוגתאות העולות בכל אחת מההתדיינות; השני, בהליך הראשון קיימו הצדדים התדיינות בכל הנוגע לאותה פלוגתא, ולצד שנגדו מועלית טענת ההשתק ניתן יומו בבית המשפט; השלישי, ההתדיינות הראשונה כללה קביעה פוזיטיבית; ואחרון, ההכרעה בפלוגתא הייתה חיונית לצורך הגעה לתוצאה הסופית של פסק הדין </w:t>
      </w:r>
      <w:r w:rsidRPr="00707920">
        <w:rPr>
          <w:rFonts w:ascii="David" w:hAnsi="David"/>
        </w:rPr>
        <w:t>."</w:t>
      </w:r>
    </w:p>
    <w:p w14:paraId="484A1009" w14:textId="77777777" w:rsidR="00707920" w:rsidRPr="00707920" w:rsidRDefault="00707920" w:rsidP="00707920">
      <w:pPr>
        <w:numPr>
          <w:ilvl w:val="0"/>
          <w:numId w:val="2"/>
        </w:numPr>
        <w:suppressLineNumbers/>
        <w:ind w:hanging="531"/>
        <w:contextualSpacing/>
        <w:jc w:val="both"/>
        <w:rPr>
          <w:rFonts w:ascii="David" w:hAnsi="David"/>
        </w:rPr>
      </w:pPr>
      <w:r w:rsidRPr="00707920">
        <w:rPr>
          <w:rFonts w:ascii="David" w:hAnsi="David"/>
          <w:rtl/>
        </w:rPr>
        <w:t xml:space="preserve">הצדדים שלפני ,התמקדו בכך שהגרושה הראשונה לא הייתה צד להליכים . אולם, ולמען השלמת התמונה,  אציין שהלכה היא, כי גם בעל דין אשר לא היה צד להתדיינות הראשונה עשוי להיות מחויב בהכרעותיה  וזאת אם מתקיימת בינו לבין מי מבעלי הדין בהתדיינות הראשונה </w:t>
      </w:r>
      <w:r w:rsidRPr="00707920">
        <w:rPr>
          <w:rFonts w:ascii="David" w:hAnsi="David"/>
          <w:u w:val="single"/>
          <w:rtl/>
        </w:rPr>
        <w:t>"קרבה משפטית</w:t>
      </w:r>
      <w:r w:rsidRPr="00707920">
        <w:rPr>
          <w:rFonts w:ascii="David" w:hAnsi="David"/>
          <w:u w:val="single"/>
        </w:rPr>
        <w:t xml:space="preserve">" </w:t>
      </w:r>
      <w:r w:rsidRPr="00707920">
        <w:rPr>
          <w:rFonts w:ascii="David" w:hAnsi="David"/>
          <w:rtl/>
        </w:rPr>
        <w:t xml:space="preserve"> </w:t>
      </w:r>
      <w:r w:rsidRPr="00707920">
        <w:rPr>
          <w:rFonts w:ascii="David" w:hAnsi="David" w:hint="cs"/>
          <w:rtl/>
        </w:rPr>
        <w:t xml:space="preserve">. שיקול זה הוא </w:t>
      </w:r>
      <w:r w:rsidRPr="00707920">
        <w:rPr>
          <w:rFonts w:ascii="David" w:hAnsi="David"/>
        </w:rPr>
        <w:t xml:space="preserve"> </w:t>
      </w:r>
      <w:r w:rsidRPr="00707920">
        <w:rPr>
          <w:rFonts w:ascii="David" w:hAnsi="David"/>
          <w:rtl/>
        </w:rPr>
        <w:t>סיבה שלפיה הנאמן כשלעצמו</w:t>
      </w:r>
      <w:r w:rsidRPr="00707920">
        <w:rPr>
          <w:rFonts w:ascii="David" w:hAnsi="David"/>
        </w:rPr>
        <w:t xml:space="preserve"> </w:t>
      </w:r>
      <w:r w:rsidRPr="00707920">
        <w:rPr>
          <w:rFonts w:ascii="David" w:hAnsi="David"/>
          <w:rtl/>
        </w:rPr>
        <w:t>חליף ליחיד.    עוד ראו  כב' השופט רונן ברע"א 4936/20 </w:t>
      </w:r>
      <w:r w:rsidRPr="00707920">
        <w:rPr>
          <w:rFonts w:ascii="David" w:hAnsi="David"/>
          <w:b/>
          <w:bCs/>
          <w:rtl/>
        </w:rPr>
        <w:t>עזבון המנוח מוחמד מחמוד סומרין ז"ל נ' הימנותא בע"מ</w:t>
      </w:r>
      <w:r w:rsidRPr="00707920">
        <w:rPr>
          <w:rFonts w:ascii="David" w:hAnsi="David"/>
          <w:rtl/>
        </w:rPr>
        <w:t xml:space="preserve"> (נבו 03.04.2023) ( פסקה 53). וכן  כב השופטת ארבל </w:t>
      </w:r>
      <w:r w:rsidRPr="00707920">
        <w:rPr>
          <w:rFonts w:ascii="David" w:hAnsi="David"/>
        </w:rPr>
        <w:t xml:space="preserve"> </w:t>
      </w:r>
      <w:r w:rsidRPr="00707920">
        <w:rPr>
          <w:rFonts w:ascii="David" w:hAnsi="David"/>
          <w:rtl/>
        </w:rPr>
        <w:t>ב</w:t>
      </w:r>
      <w:r w:rsidRPr="00707920">
        <w:rPr>
          <w:rFonts w:ascii="David" w:hAnsi="David"/>
        </w:rPr>
        <w:t xml:space="preserve"> </w:t>
      </w:r>
      <w:r w:rsidRPr="00707920">
        <w:rPr>
          <w:rFonts w:ascii="David" w:hAnsi="David"/>
          <w:rtl/>
        </w:rPr>
        <w:t>ע"א 9647/05 </w:t>
      </w:r>
      <w:r w:rsidRPr="00707920">
        <w:rPr>
          <w:rFonts w:ascii="David" w:hAnsi="David"/>
          <w:b/>
          <w:bCs/>
          <w:rtl/>
        </w:rPr>
        <w:t>פוליבה בע"מ נ' מדינת ישראל אגף המכס ומע"מ ומשרד המסחר</w:t>
      </w:r>
      <w:r w:rsidRPr="00707920">
        <w:rPr>
          <w:rFonts w:ascii="David" w:hAnsi="David"/>
          <w:rtl/>
        </w:rPr>
        <w:t> (נבו 22.07.2007)‏‏(:"35.         , התפישה המודרנית מעניקה למונח "קרבה משפטית</w:t>
      </w:r>
      <w:r w:rsidRPr="00707920">
        <w:rPr>
          <w:rFonts w:ascii="David" w:hAnsi="David"/>
        </w:rPr>
        <w:t xml:space="preserve">" (privity) </w:t>
      </w:r>
      <w:r w:rsidRPr="00707920">
        <w:rPr>
          <w:rFonts w:ascii="David" w:hAnsi="David"/>
          <w:rtl/>
        </w:rPr>
        <w:t xml:space="preserve">משמעות רחבה הכוללת גם מצבים שבהם משום "קרבת העניין" של צד זר להליך לעניינו של אחד מבעלי הדין ביחס לנושא ההתדיינות, יש להשוות את מעמדו, מטעמים שבמדיניות משפטית ומשיקולי צדק, לזה של בעל דין, לצורך החלתו של הכלל בדבר השתק פלוגתא ..... הסטייה מן התנאי בדבר זהות הצדדים נתונה לשיקול דעתו של בית המשפט על פי נסיבותיו הפרטניות של המקרה שבפניו. בבוחנו שאלה זו ישקול בית המשפט, האם בהחלת השתק פלוגתא במקרים כאמור עלול להיגרם אי-צדק והאם המבקש להחיל את ההשתק עושה זאת בתום לב " </w:t>
      </w:r>
    </w:p>
    <w:p w14:paraId="5C560E59" w14:textId="77777777" w:rsidR="00707920" w:rsidRPr="00707920" w:rsidRDefault="00707920" w:rsidP="00707920">
      <w:pPr>
        <w:numPr>
          <w:ilvl w:val="0"/>
          <w:numId w:val="2"/>
        </w:numPr>
        <w:suppressLineNumbers/>
        <w:ind w:hanging="531"/>
        <w:contextualSpacing/>
        <w:jc w:val="both"/>
        <w:rPr>
          <w:rFonts w:ascii="David" w:hAnsi="David"/>
        </w:rPr>
      </w:pPr>
      <w:r w:rsidRPr="00707920">
        <w:rPr>
          <w:rFonts w:ascii="David" w:hAnsi="David"/>
          <w:rtl/>
        </w:rPr>
        <w:t xml:space="preserve">למען הסר ספק יובהר כי למעשה לא  נטען באופן הנדרש, ובכל אופן על יסוד המצוי בפני לא מתקיים גם תנאי של קרבה משפטית </w:t>
      </w:r>
      <w:r w:rsidRPr="00707920">
        <w:rPr>
          <w:rFonts w:ascii="David" w:hAnsi="David"/>
        </w:rPr>
        <w:t xml:space="preserve"> </w:t>
      </w:r>
    </w:p>
    <w:p w14:paraId="6C714771" w14:textId="77777777" w:rsidR="00707920" w:rsidRPr="00707920" w:rsidRDefault="00707920" w:rsidP="00707920">
      <w:pPr>
        <w:numPr>
          <w:ilvl w:val="0"/>
          <w:numId w:val="2"/>
        </w:numPr>
        <w:suppressLineNumbers/>
        <w:ind w:hanging="531"/>
        <w:contextualSpacing/>
        <w:jc w:val="both"/>
        <w:rPr>
          <w:rFonts w:ascii="David" w:hAnsi="David"/>
        </w:rPr>
      </w:pPr>
      <w:r w:rsidRPr="00707920">
        <w:rPr>
          <w:rFonts w:ascii="David" w:hAnsi="David"/>
          <w:color w:val="000000"/>
          <w:sz w:val="27"/>
          <w:szCs w:val="27"/>
        </w:rPr>
        <w:t xml:space="preserve"> </w:t>
      </w:r>
      <w:r w:rsidRPr="00707920">
        <w:rPr>
          <w:rFonts w:ascii="David" w:hAnsi="David"/>
          <w:rtl/>
        </w:rPr>
        <w:t xml:space="preserve">לצורך המסקנה  לפיה אין מעשה בית דין </w:t>
      </w:r>
      <w:r w:rsidRPr="00707920">
        <w:rPr>
          <w:rFonts w:ascii="David" w:hAnsi="David"/>
        </w:rPr>
        <w:t xml:space="preserve"> </w:t>
      </w:r>
      <w:r w:rsidRPr="00707920">
        <w:rPr>
          <w:rFonts w:ascii="David" w:hAnsi="David"/>
          <w:rtl/>
        </w:rPr>
        <w:t xml:space="preserve">אכן,  </w:t>
      </w:r>
      <w:r w:rsidRPr="00707920">
        <w:rPr>
          <w:rFonts w:ascii="David" w:hAnsi="David"/>
          <w:u w:val="single"/>
          <w:rtl/>
        </w:rPr>
        <w:t xml:space="preserve">די  בכך שלא מתקיים התנאי ההכרחי הנ"ל  </w:t>
      </w:r>
      <w:r w:rsidRPr="00707920">
        <w:rPr>
          <w:rFonts w:ascii="David" w:hAnsi="David"/>
          <w:u w:val="single"/>
        </w:rPr>
        <w:t xml:space="preserve"> </w:t>
      </w:r>
      <w:r w:rsidRPr="00707920">
        <w:rPr>
          <w:rFonts w:ascii="David" w:hAnsi="David"/>
          <w:u w:val="single"/>
          <w:rtl/>
        </w:rPr>
        <w:t>כי הגרושה הראשונה לא הייתה צד  להליכים שבין היחיד לגרושה השניה ולמען הסדר הטוב אוסיף שגם אין " קרבה משפטית" וזאת מחמת הנסיבות הבאות : ה</w:t>
      </w:r>
      <w:r w:rsidRPr="00707920">
        <w:rPr>
          <w:rFonts w:ascii="David" w:hAnsi="David"/>
          <w:rtl/>
        </w:rPr>
        <w:t>גרושה הראשונה, לא הייתה מראש צד ל</w:t>
      </w:r>
      <w:r w:rsidRPr="00707920">
        <w:rPr>
          <w:rFonts w:ascii="David" w:hAnsi="David"/>
          <w:b/>
          <w:bCs/>
          <w:rtl/>
        </w:rPr>
        <w:t>הסכם</w:t>
      </w:r>
      <w:r w:rsidRPr="00707920">
        <w:rPr>
          <w:rFonts w:ascii="David" w:hAnsi="David"/>
          <w:rtl/>
        </w:rPr>
        <w:t xml:space="preserve"> הבוררות, לא  צורפה גם בהמשך כצד </w:t>
      </w:r>
      <w:r w:rsidRPr="00707920">
        <w:rPr>
          <w:rFonts w:ascii="David" w:hAnsi="David"/>
          <w:b/>
          <w:bCs/>
          <w:rtl/>
        </w:rPr>
        <w:t>להליך הבוררות,</w:t>
      </w:r>
      <w:r w:rsidRPr="00707920">
        <w:rPr>
          <w:rFonts w:ascii="David" w:hAnsi="David"/>
          <w:rtl/>
        </w:rPr>
        <w:t xml:space="preserve"> ולא הסכימה </w:t>
      </w:r>
      <w:r w:rsidRPr="00707920">
        <w:rPr>
          <w:rFonts w:ascii="David" w:hAnsi="David"/>
          <w:b/>
          <w:bCs/>
          <w:rtl/>
        </w:rPr>
        <w:t xml:space="preserve"> גם בדיעבד </w:t>
      </w:r>
      <w:r w:rsidRPr="00707920">
        <w:rPr>
          <w:rFonts w:ascii="David" w:hAnsi="David"/>
          <w:rtl/>
        </w:rPr>
        <w:t>לתוקף פסק הבוררות כלפיה . פסק הדין בהמרצת הפתיחה שהגישה  הגרושה הראשונה מורה על מחיקה ולפיכך לא גלום בו  מעשה בי דין .זאת מעבר לדברים נשכתבו בגוף הפסק על המשך הליכים.</w:t>
      </w:r>
    </w:p>
    <w:p w14:paraId="50CEB575" w14:textId="77777777" w:rsidR="00707920" w:rsidRPr="00707920" w:rsidRDefault="00707920" w:rsidP="00707920">
      <w:pPr>
        <w:numPr>
          <w:ilvl w:val="0"/>
          <w:numId w:val="2"/>
        </w:numPr>
        <w:suppressLineNumbers/>
        <w:ind w:hanging="531"/>
        <w:contextualSpacing/>
        <w:jc w:val="both"/>
        <w:rPr>
          <w:rFonts w:ascii="David" w:hAnsi="David"/>
        </w:rPr>
      </w:pPr>
      <w:r w:rsidRPr="00707920">
        <w:rPr>
          <w:rFonts w:ascii="David" w:hAnsi="David"/>
          <w:rtl/>
        </w:rPr>
        <w:t xml:space="preserve">אוסיף ואציין ,שהתנאי לפיו האדם שמושתק היה  אדם צד להליך, או בקרבה המשפטית הנדשית, להליך שמשתיק אותו הוא תנאי </w:t>
      </w:r>
      <w:r w:rsidRPr="00707920">
        <w:rPr>
          <w:rFonts w:ascii="David" w:hAnsi="David"/>
          <w:b/>
          <w:bCs/>
          <w:rtl/>
        </w:rPr>
        <w:t xml:space="preserve">חשוב מאד מבחינת כללי צדק טבעי . </w:t>
      </w:r>
      <w:r w:rsidRPr="00707920">
        <w:rPr>
          <w:rFonts w:ascii="David" w:hAnsi="David"/>
          <w:rtl/>
        </w:rPr>
        <w:t xml:space="preserve"> זאת, כי למי שלא היה צד לדיון הקודם, ממילא לא היתה  בדרך כלל, שעת הכושר הדרושה להבאת טענותיו .</w:t>
      </w:r>
      <w:r w:rsidRPr="00707920">
        <w:rPr>
          <w:rtl/>
        </w:rPr>
        <w:t xml:space="preserve"> </w:t>
      </w:r>
      <w:r w:rsidRPr="00707920">
        <w:rPr>
          <w:rFonts w:ascii="David" w:hAnsi="David"/>
          <w:rtl/>
        </w:rPr>
        <w:t>שוו כ' השופט גרוסוקפף ברע"א 3744/20 </w:t>
      </w:r>
      <w:r w:rsidRPr="00707920">
        <w:rPr>
          <w:rFonts w:ascii="David" w:hAnsi="David"/>
          <w:b/>
          <w:bCs/>
          <w:rtl/>
        </w:rPr>
        <w:t>י.ו טירת הכרמל בע"מ נ' מתנה חלבי</w:t>
      </w:r>
      <w:r w:rsidRPr="00707920">
        <w:rPr>
          <w:rFonts w:ascii="David" w:hAnsi="David"/>
          <w:rtl/>
        </w:rPr>
        <w:t xml:space="preserve"> (נבו 30.07.2020) ( פסקה 14) </w:t>
      </w:r>
      <w:r w:rsidRPr="00707920">
        <w:rPr>
          <w:color w:val="000000"/>
          <w:sz w:val="27"/>
          <w:szCs w:val="27"/>
          <w:rtl/>
        </w:rPr>
        <w:t xml:space="preserve">‏ </w:t>
      </w:r>
      <w:r w:rsidRPr="00707920">
        <w:rPr>
          <w:rFonts w:ascii="David" w:hAnsi="David"/>
          <w:rtl/>
        </w:rPr>
        <w:t>"  אם במסגרת התובענה הראשונה לא ניתנה לתובע הזדמנות מלאה למיצוי טענותיו, שלא באשמתו, נסוגות התכליות העומדות בבסיס הכלל של מעשה בית דין מפני שיקולי צדק, כך שהתובע לא יהא כבול לתוצאות ההתדיינות הקודמת (ראו: זלצמן, עמ' 17-16)</w:t>
      </w:r>
      <w:r w:rsidRPr="00707920">
        <w:rPr>
          <w:rFonts w:ascii="David" w:hAnsi="David"/>
        </w:rPr>
        <w:t>."</w:t>
      </w:r>
      <w:r w:rsidRPr="00707920">
        <w:rPr>
          <w:rFonts w:ascii="David" w:hAnsi="David"/>
          <w:rtl/>
        </w:rPr>
        <w:t xml:space="preserve"> </w:t>
      </w:r>
      <w:r w:rsidRPr="00707920">
        <w:rPr>
          <w:rFonts w:ascii="David" w:hAnsi="David" w:hint="cs"/>
          <w:rtl/>
        </w:rPr>
        <w:t xml:space="preserve">אוסיף שבהעדר אפשרות לבחון ראיותיו מוגברים סיכוני טעות בתוצאה וכן ראו </w:t>
      </w:r>
      <w:r w:rsidRPr="00707920">
        <w:rPr>
          <w:rFonts w:ascii="David" w:hAnsi="David"/>
        </w:rPr>
        <w:t xml:space="preserve"> </w:t>
      </w:r>
      <w:r w:rsidRPr="00707920">
        <w:rPr>
          <w:rFonts w:ascii="David" w:hAnsi="David"/>
          <w:rtl/>
        </w:rPr>
        <w:t xml:space="preserve">כב' השופטת ארבל  </w:t>
      </w:r>
      <w:r w:rsidRPr="00707920">
        <w:rPr>
          <w:rFonts w:ascii="David" w:hAnsi="David"/>
          <w:b/>
          <w:bCs/>
          <w:rtl/>
        </w:rPr>
        <w:t>בעניין</w:t>
      </w:r>
      <w:r w:rsidRPr="00707920">
        <w:rPr>
          <w:rFonts w:ascii="David" w:hAnsi="David"/>
          <w:rtl/>
        </w:rPr>
        <w:t xml:space="preserve">  </w:t>
      </w:r>
      <w:r w:rsidRPr="00707920">
        <w:rPr>
          <w:rFonts w:ascii="David" w:hAnsi="David"/>
          <w:b/>
          <w:bCs/>
          <w:rtl/>
        </w:rPr>
        <w:t>פוליב</w:t>
      </w:r>
      <w:r w:rsidRPr="00707920">
        <w:rPr>
          <w:rFonts w:ascii="David" w:hAnsi="David"/>
          <w:rtl/>
        </w:rPr>
        <w:t xml:space="preserve"> (פסקה 36)    </w:t>
      </w:r>
      <w:r w:rsidRPr="00707920">
        <w:rPr>
          <w:rFonts w:ascii="David" w:hAnsi="David"/>
          <w:noProof w:val="0"/>
          <w:rtl/>
        </w:rPr>
        <w:t xml:space="preserve"> </w:t>
      </w:r>
      <w:r w:rsidRPr="00707920">
        <w:rPr>
          <w:rFonts w:ascii="David" w:hAnsi="David"/>
          <w:rtl/>
        </w:rPr>
        <w:t xml:space="preserve"> </w:t>
      </w:r>
    </w:p>
    <w:p w14:paraId="251429A4" w14:textId="77777777" w:rsidR="00707920" w:rsidRPr="00707920" w:rsidRDefault="00707920" w:rsidP="00707920">
      <w:pPr>
        <w:numPr>
          <w:ilvl w:val="0"/>
          <w:numId w:val="2"/>
        </w:numPr>
        <w:suppressLineNumbers/>
        <w:ind w:hanging="531"/>
        <w:contextualSpacing/>
        <w:jc w:val="both"/>
        <w:rPr>
          <w:rFonts w:ascii="David" w:hAnsi="David"/>
        </w:rPr>
      </w:pPr>
      <w:r w:rsidRPr="00707920">
        <w:rPr>
          <w:rFonts w:ascii="David" w:hAnsi="David"/>
          <w:rtl/>
        </w:rPr>
        <w:t>יתירה מכך , מקובלת עלי עמדת הנאמן שלא מתקיים "</w:t>
      </w:r>
      <w:r w:rsidRPr="00707920">
        <w:rPr>
          <w:rFonts w:ascii="David" w:hAnsi="David"/>
        </w:rPr>
        <w:t xml:space="preserve"> </w:t>
      </w:r>
      <w:r w:rsidRPr="00707920">
        <w:rPr>
          <w:rFonts w:ascii="David" w:hAnsi="David"/>
          <w:rtl/>
        </w:rPr>
        <w:t xml:space="preserve">תנאי  הכרחי" נוסף </w:t>
      </w:r>
      <w:r w:rsidRPr="00707920">
        <w:rPr>
          <w:rFonts w:ascii="David" w:hAnsi="David"/>
        </w:rPr>
        <w:t xml:space="preserve"> </w:t>
      </w:r>
      <w:r w:rsidRPr="00707920">
        <w:rPr>
          <w:rFonts w:ascii="David" w:hAnsi="David"/>
          <w:rtl/>
        </w:rPr>
        <w:t>למעשה בית דין כי לא ניתן לומר שהפלוגתא  הנוגעת לתחרות הזכויות בין הגרושות כבר נדונה והוכרעה, בהליך הראשון ונקבע לגביה ממצא פוזיטיבי . הבורר אמנם התייחס  להליכי הוצל"פ אך לא  לעיקול שכבר הוטל , וגם בפסק הדן שהורה על רישום הזכויות אין דיון והכרעה בפלוגתא ולא  נקבע לגביה ממצא פוזיטיבי וכאמור למשל ע"א 4936/20 עזבון המנוח מוחמד מחמוד סומרין ז"ל נ' הימנותא בע"מ (נבו 03.04.2023)‏ "יה. ככלל, בעוד שהשתק עילה עשוי לקום גם במצבים בהם לא נקבעו במסגרת פסק הדין ממצאים פוזיטיביים, תנאי להקמתו של השתק פלוגתא הוא שהפלוגתא הוכרעה ונקבע לגביה ממצא פוזיטיבי</w:t>
      </w:r>
      <w:r w:rsidRPr="00707920">
        <w:rPr>
          <w:rFonts w:ascii="David" w:hAnsi="David"/>
        </w:rPr>
        <w:t xml:space="preserve"> (</w:t>
      </w:r>
      <w:r w:rsidRPr="00707920">
        <w:rPr>
          <w:rFonts w:ascii="David" w:hAnsi="David"/>
          <w:rtl/>
        </w:rPr>
        <w:t xml:space="preserve"> "</w:t>
      </w:r>
    </w:p>
    <w:p w14:paraId="118E2DC8" w14:textId="77777777" w:rsidR="00707920" w:rsidRPr="00707920" w:rsidRDefault="00707920" w:rsidP="00707920">
      <w:pPr>
        <w:numPr>
          <w:ilvl w:val="0"/>
          <w:numId w:val="2"/>
        </w:numPr>
        <w:suppressLineNumbers/>
        <w:ind w:hanging="531"/>
        <w:contextualSpacing/>
        <w:jc w:val="both"/>
        <w:rPr>
          <w:rFonts w:ascii="David" w:hAnsi="David"/>
        </w:rPr>
      </w:pPr>
      <w:r w:rsidRPr="00707920">
        <w:rPr>
          <w:rFonts w:ascii="David" w:hAnsi="David"/>
          <w:rtl/>
        </w:rPr>
        <w:t xml:space="preserve">יתירה מכך,  ככל שמדובר ביחסים בין היחיד לגרושה השניה </w:t>
      </w:r>
      <w:r w:rsidRPr="00707920">
        <w:rPr>
          <w:rFonts w:ascii="David" w:hAnsi="David"/>
        </w:rPr>
        <w:t xml:space="preserve"> </w:t>
      </w:r>
      <w:r w:rsidRPr="00707920">
        <w:rPr>
          <w:rFonts w:ascii="David" w:hAnsi="David"/>
          <w:rtl/>
        </w:rPr>
        <w:t>די היה בממצאים הנוגעים למערכת היחסים בינהם ולא  נראה שבעיני הבורר הממצא שנקבע בהליך הראשון היה חיוני להכרעה בה;</w:t>
      </w:r>
      <w:r w:rsidRPr="00707920">
        <w:rPr>
          <w:rFonts w:ascii="David" w:hAnsi="David"/>
        </w:rPr>
        <w:t xml:space="preserve"> </w:t>
      </w:r>
    </w:p>
    <w:p w14:paraId="167F03C9" w14:textId="77777777" w:rsidR="00707920" w:rsidRPr="00707920" w:rsidRDefault="00707920" w:rsidP="00707920">
      <w:pPr>
        <w:rPr>
          <w:rFonts w:ascii="David" w:hAnsi="David"/>
          <w:sz w:val="8"/>
          <w:szCs w:val="6"/>
        </w:rPr>
      </w:pPr>
    </w:p>
    <w:p w14:paraId="21C0FD5A" w14:textId="77777777" w:rsidR="00707920" w:rsidRPr="00707920" w:rsidRDefault="00707920" w:rsidP="00707920">
      <w:pPr>
        <w:pStyle w:val="3"/>
        <w:rPr>
          <w:rFonts w:ascii="David" w:hAnsi="David" w:cs="David"/>
          <w:rtl/>
        </w:rPr>
      </w:pPr>
      <w:bookmarkStart w:id="28" w:name="_Toc168898775"/>
      <w:r w:rsidRPr="00707920">
        <w:rPr>
          <w:rFonts w:ascii="David" w:hAnsi="David" w:cs="David"/>
          <w:rtl/>
        </w:rPr>
        <w:t>ה(5</w:t>
      </w:r>
      <w:r w:rsidRPr="00707920">
        <w:rPr>
          <w:rFonts w:ascii="David" w:hAnsi="David" w:cs="David"/>
        </w:rPr>
        <w:t xml:space="preserve"> </w:t>
      </w:r>
      <w:r w:rsidRPr="00707920">
        <w:rPr>
          <w:rFonts w:ascii="David" w:hAnsi="David" w:cs="David"/>
          <w:rtl/>
        </w:rPr>
        <w:t>) גם המרצת הפתיחה  של הגרושה הראשונה לביטול פסק הבורר   לא יצרה  מעשה בית דין המשתיק אותה  על זכותה לפי העיקול .</w:t>
      </w:r>
      <w:bookmarkEnd w:id="28"/>
    </w:p>
    <w:p w14:paraId="03C43C8B" w14:textId="77777777" w:rsidR="00707920" w:rsidRPr="00707920" w:rsidRDefault="00707920" w:rsidP="00707920">
      <w:pPr>
        <w:numPr>
          <w:ilvl w:val="0"/>
          <w:numId w:val="2"/>
        </w:numPr>
        <w:suppressLineNumbers/>
        <w:ind w:hanging="531"/>
        <w:contextualSpacing/>
        <w:jc w:val="both"/>
        <w:rPr>
          <w:rFonts w:ascii="David" w:hAnsi="David"/>
          <w:rtl/>
        </w:rPr>
      </w:pPr>
      <w:r w:rsidRPr="00707920">
        <w:rPr>
          <w:rFonts w:ascii="David" w:hAnsi="David"/>
          <w:rtl/>
        </w:rPr>
        <w:t>ה</w:t>
      </w:r>
      <w:r w:rsidRPr="00707920">
        <w:rPr>
          <w:rFonts w:ascii="David" w:hAnsi="David"/>
          <w:b/>
          <w:bCs/>
          <w:rtl/>
        </w:rPr>
        <w:t xml:space="preserve">מרצת הפתיחה שהגישה הגרושה הראשונה  לביטול פסק הבורר" תמ"ש </w:t>
      </w:r>
      <w:r w:rsidRPr="00707920">
        <w:rPr>
          <w:rFonts w:ascii="David" w:hAnsi="David"/>
          <w:rtl/>
        </w:rPr>
        <w:t xml:space="preserve">14485-05-14  </w:t>
      </w:r>
      <w:r w:rsidRPr="00707920">
        <w:rPr>
          <w:rFonts w:ascii="David" w:hAnsi="David"/>
          <w:b/>
          <w:bCs/>
          <w:rtl/>
        </w:rPr>
        <w:t xml:space="preserve">  </w:t>
      </w:r>
      <w:r w:rsidRPr="00707920">
        <w:rPr>
          <w:rFonts w:ascii="David" w:hAnsi="David"/>
          <w:rtl/>
        </w:rPr>
        <w:t xml:space="preserve"> אכן,  לא יצרה </w:t>
      </w:r>
      <w:r w:rsidRPr="00707920">
        <w:rPr>
          <w:rFonts w:ascii="David" w:hAnsi="David"/>
        </w:rPr>
        <w:t xml:space="preserve"> </w:t>
      </w:r>
      <w:r w:rsidRPr="00707920">
        <w:rPr>
          <w:rFonts w:ascii="David" w:hAnsi="David"/>
          <w:rtl/>
        </w:rPr>
        <w:t>מעשה בית דין כי תוצאתה היא מחיקה ולא דחיה .זה מכבר נקבע ,ש מחיקת כתב תביעה   אינה עשה בית דין</w:t>
      </w:r>
      <w:r w:rsidRPr="00707920">
        <w:rPr>
          <w:rFonts w:ascii="David" w:hAnsi="David"/>
        </w:rPr>
        <w:t>.</w:t>
      </w:r>
      <w:r w:rsidRPr="00707920">
        <w:rPr>
          <w:rFonts w:ascii="David" w:hAnsi="David"/>
          <w:rtl/>
        </w:rPr>
        <w:t xml:space="preserve">   ראו למשל באסמכתאות הבאות : א  כב' השופט בכור בע"א 522/77 </w:t>
      </w:r>
      <w:r w:rsidRPr="00707920">
        <w:rPr>
          <w:rFonts w:ascii="David" w:hAnsi="David"/>
          <w:b/>
          <w:bCs/>
          <w:rtl/>
        </w:rPr>
        <w:t>איגוד עולמי של יוצאי ווהלין אגודה רשומה בישראל נ' פינקלשטיין ושות'</w:t>
      </w:r>
      <w:r w:rsidRPr="00707920">
        <w:rPr>
          <w:rFonts w:ascii="David" w:hAnsi="David"/>
          <w:rtl/>
        </w:rPr>
        <w:t xml:space="preserve"> בע"מ</w:t>
      </w:r>
      <w:r w:rsidRPr="00707920">
        <w:rPr>
          <w:rFonts w:ascii="David" w:hAnsi="David"/>
        </w:rPr>
        <w:t xml:space="preserve">, </w:t>
      </w:r>
      <w:r w:rsidRPr="00707920">
        <w:rPr>
          <w:rFonts w:ascii="David" w:hAnsi="David"/>
          <w:rtl/>
        </w:rPr>
        <w:t>לב(2) 017 (1978)‏‏ שציין כי " השוני  בין דחיה ומחיקה אינו סמנטי בלבד ולפי תקנה 490 מחיקת התובענה אינה יוצרת כלל מעשה- בית-דין ואינה מונעת הגשת תובענה חדשה בגין אותה עילה. זה חל גם על הפסקת תובענה על-פי תקנה 154 (וראה תקנה 155) כי בזמן שבדחיית תביעה שונה המצב ויש ודחיה יוצרת מעשה-בית-דין ויש שאינה יוצרת מעשה-בית-דין, הכל לפי סיבת הדחיה</w:t>
      </w:r>
      <w:r w:rsidRPr="00707920">
        <w:rPr>
          <w:rFonts w:ascii="David" w:hAnsi="David"/>
        </w:rPr>
        <w:t>."</w:t>
      </w:r>
      <w:r w:rsidRPr="00707920">
        <w:rPr>
          <w:rFonts w:ascii="David" w:hAnsi="David"/>
          <w:rtl/>
        </w:rPr>
        <w:t xml:space="preserve">ב. נינה זלצמן, </w:t>
      </w:r>
      <w:r w:rsidRPr="00707920">
        <w:rPr>
          <w:rFonts w:ascii="David" w:hAnsi="David"/>
          <w:b/>
          <w:bCs/>
          <w:rtl/>
        </w:rPr>
        <w:t xml:space="preserve">מעשה בית דין בהליך אזרחי </w:t>
      </w:r>
      <w:r w:rsidRPr="00707920">
        <w:rPr>
          <w:rFonts w:ascii="David" w:hAnsi="David"/>
          <w:rtl/>
        </w:rPr>
        <w:t>306 י</w:t>
      </w:r>
      <w:r w:rsidRPr="00707920">
        <w:rPr>
          <w:rFonts w:ascii="David" w:hAnsi="David"/>
        </w:rPr>
        <w:t xml:space="preserve"> (1991 )</w:t>
      </w:r>
      <w:r w:rsidRPr="00707920">
        <w:rPr>
          <w:rFonts w:ascii="David" w:hAnsi="David"/>
          <w:rtl/>
        </w:rPr>
        <w:t>ג. השוו לנוסח תקנה 42(ב)  לתקנות סדר הדין האזרחי תשע"ט-2018 ( להלן:"</w:t>
      </w:r>
      <w:r w:rsidRPr="00707920">
        <w:rPr>
          <w:rFonts w:ascii="David" w:hAnsi="David"/>
          <w:b/>
          <w:bCs/>
          <w:rtl/>
        </w:rPr>
        <w:t>תקנות סדר הדין האזרחי</w:t>
      </w:r>
      <w:r w:rsidRPr="00707920">
        <w:rPr>
          <w:rFonts w:ascii="David" w:hAnsi="David"/>
          <w:rtl/>
        </w:rPr>
        <w:t xml:space="preserve"> ")   </w:t>
      </w:r>
    </w:p>
    <w:p w14:paraId="1A53419E" w14:textId="77777777" w:rsidR="00707920" w:rsidRPr="00707920" w:rsidRDefault="00707920" w:rsidP="00707920">
      <w:pPr>
        <w:numPr>
          <w:ilvl w:val="0"/>
          <w:numId w:val="2"/>
        </w:numPr>
        <w:suppressLineNumbers/>
        <w:ind w:hanging="531"/>
        <w:contextualSpacing/>
        <w:jc w:val="both"/>
        <w:rPr>
          <w:rFonts w:ascii="David" w:hAnsi="David"/>
        </w:rPr>
      </w:pPr>
      <w:r w:rsidRPr="00707920">
        <w:rPr>
          <w:rFonts w:ascii="David" w:hAnsi="David"/>
          <w:rtl/>
        </w:rPr>
        <w:t xml:space="preserve">במקרה זה לא זאת בלבד שהמרצה  נמחקה אלא  </w:t>
      </w:r>
      <w:r w:rsidRPr="00707920">
        <w:rPr>
          <w:rFonts w:ascii="David" w:hAnsi="David"/>
        </w:rPr>
        <w:t xml:space="preserve"> </w:t>
      </w:r>
      <w:r w:rsidRPr="00707920">
        <w:rPr>
          <w:rFonts w:ascii="David" w:hAnsi="David"/>
          <w:rtl/>
        </w:rPr>
        <w:t>שכאמור נכתבו בה דברים שמצביעים על העדר סופיות</w:t>
      </w:r>
      <w:r w:rsidRPr="00707920">
        <w:rPr>
          <w:rFonts w:ascii="David" w:hAnsi="David"/>
        </w:rPr>
        <w:t xml:space="preserve"> </w:t>
      </w:r>
      <w:r w:rsidRPr="00707920">
        <w:rPr>
          <w:rFonts w:ascii="David" w:hAnsi="David"/>
          <w:rtl/>
        </w:rPr>
        <w:t xml:space="preserve"> משנכתב בה  :"תוך שברור לי שאין דובר בסוף להליכים שבין הצדדים" </w:t>
      </w:r>
      <w:r w:rsidRPr="00707920">
        <w:rPr>
          <w:rFonts w:ascii="David" w:hAnsi="David"/>
        </w:rPr>
        <w:t xml:space="preserve"> </w:t>
      </w:r>
    </w:p>
    <w:p w14:paraId="070908D1" w14:textId="77777777" w:rsidR="00707920" w:rsidRPr="00707920" w:rsidRDefault="00707920" w:rsidP="00707920">
      <w:pPr>
        <w:pStyle w:val="2"/>
        <w:bidi w:val="0"/>
        <w:spacing w:before="0"/>
        <w:jc w:val="center"/>
        <w:rPr>
          <w:rFonts w:ascii="David" w:eastAsia="Times New Roman" w:hAnsi="David" w:cs="David"/>
          <w:color w:val="auto"/>
          <w:sz w:val="24"/>
          <w:szCs w:val="24"/>
        </w:rPr>
      </w:pPr>
      <w:r w:rsidRPr="00707920">
        <w:rPr>
          <w:rFonts w:ascii="David" w:eastAsia="Times New Roman" w:hAnsi="David" w:cs="David"/>
          <w:color w:val="auto"/>
          <w:sz w:val="24"/>
          <w:szCs w:val="24"/>
          <w:rtl/>
        </w:rPr>
        <w:lastRenderedPageBreak/>
        <w:t xml:space="preserve"> </w:t>
      </w:r>
    </w:p>
    <w:p w14:paraId="00A3F92B" w14:textId="77777777" w:rsidR="00707920" w:rsidRPr="00707920" w:rsidRDefault="00707920" w:rsidP="00707920">
      <w:pPr>
        <w:pStyle w:val="3"/>
        <w:rPr>
          <w:rFonts w:ascii="David" w:hAnsi="David" w:cs="David"/>
        </w:rPr>
      </w:pPr>
      <w:bookmarkStart w:id="29" w:name="_Toc168898776"/>
      <w:r w:rsidRPr="00707920">
        <w:rPr>
          <w:rFonts w:ascii="David" w:hAnsi="David" w:cs="David"/>
          <w:rtl/>
        </w:rPr>
        <w:t>ה(6) פסק הבוררות  ויתר ההליכים לא יצרו "השתק שיפוטי"כלפי הגרושה הראשונה .</w:t>
      </w:r>
      <w:bookmarkEnd w:id="29"/>
    </w:p>
    <w:p w14:paraId="2D9AA5C9" w14:textId="77777777" w:rsidR="00707920" w:rsidRPr="00707920" w:rsidRDefault="00707920" w:rsidP="00707920">
      <w:pPr>
        <w:suppressLineNumbers/>
        <w:rPr>
          <w:rFonts w:ascii="David" w:hAnsi="David"/>
          <w:rtl/>
        </w:rPr>
      </w:pPr>
    </w:p>
    <w:p w14:paraId="20D6EE95" w14:textId="77777777" w:rsidR="00707920" w:rsidRPr="00707920" w:rsidRDefault="00707920" w:rsidP="00707920">
      <w:pPr>
        <w:numPr>
          <w:ilvl w:val="0"/>
          <w:numId w:val="2"/>
        </w:numPr>
        <w:suppressLineNumbers/>
        <w:ind w:hanging="531"/>
        <w:contextualSpacing/>
        <w:jc w:val="both"/>
        <w:rPr>
          <w:rFonts w:ascii="David" w:hAnsi="David"/>
          <w:rtl/>
        </w:rPr>
      </w:pPr>
      <w:r w:rsidRPr="00707920">
        <w:rPr>
          <w:rFonts w:ascii="David" w:hAnsi="David"/>
          <w:rtl/>
        </w:rPr>
        <w:t xml:space="preserve">הגרושה השניה ,טענה במעורפל, גם </w:t>
      </w:r>
      <w:r w:rsidRPr="00707920">
        <w:rPr>
          <w:rFonts w:ascii="David" w:hAnsi="David"/>
        </w:rPr>
        <w:t xml:space="preserve"> </w:t>
      </w:r>
      <w:r w:rsidRPr="00707920">
        <w:rPr>
          <w:rFonts w:ascii="David" w:hAnsi="David"/>
          <w:rtl/>
        </w:rPr>
        <w:t xml:space="preserve">לקיום "השתק שיפוטי". כלפי הגרושה הראשונה. זאת, מחמת פסקי דין ביחסים שבין הגרושה השניה לבין היחיד .   </w:t>
      </w:r>
    </w:p>
    <w:p w14:paraId="708B91F2" w14:textId="77777777" w:rsidR="00707920" w:rsidRPr="00707920" w:rsidRDefault="00707920" w:rsidP="00707920">
      <w:pPr>
        <w:numPr>
          <w:ilvl w:val="0"/>
          <w:numId w:val="2"/>
        </w:numPr>
        <w:suppressLineNumbers/>
        <w:ind w:hanging="531"/>
        <w:contextualSpacing/>
        <w:jc w:val="both"/>
        <w:rPr>
          <w:rFonts w:ascii="David" w:hAnsi="David"/>
          <w:szCs w:val="22"/>
        </w:rPr>
      </w:pPr>
      <w:r w:rsidRPr="00707920">
        <w:rPr>
          <w:rFonts w:ascii="David" w:hAnsi="David"/>
          <w:rtl/>
        </w:rPr>
        <w:t xml:space="preserve">מצאתי, שדין הטענה להשתק שיפוטי להידחות.  כי  לא  הונחה בפני תשתית מספקת להתקיימות התנאים להשתק השיפוטי, ואף ולא סברתי שמתקיים הרציונל להטלתו של ולהשתיק את הגרושה הראשונה שלא ניתנה לה שעת הכושר להשמיע הטענות. </w:t>
      </w:r>
      <w:r w:rsidRPr="00707920">
        <w:rPr>
          <w:rFonts w:ascii="David" w:hAnsi="David"/>
          <w:szCs w:val="22"/>
          <w:rtl/>
        </w:rPr>
        <w:t xml:space="preserve">ואסביר זאת בטעמים הבאים  : </w:t>
      </w:r>
    </w:p>
    <w:p w14:paraId="356AE1DF" w14:textId="77777777" w:rsidR="00707920" w:rsidRPr="00707920" w:rsidRDefault="00707920" w:rsidP="00707920">
      <w:pPr>
        <w:numPr>
          <w:ilvl w:val="0"/>
          <w:numId w:val="2"/>
        </w:numPr>
        <w:suppressLineNumbers/>
        <w:ind w:hanging="531"/>
        <w:contextualSpacing/>
        <w:jc w:val="both"/>
        <w:rPr>
          <w:rFonts w:ascii="David" w:hAnsi="David"/>
        </w:rPr>
      </w:pPr>
      <w:r w:rsidRPr="00707920">
        <w:rPr>
          <w:rFonts w:ascii="David" w:hAnsi="David"/>
          <w:u w:val="single"/>
          <w:rtl/>
        </w:rPr>
        <w:t xml:space="preserve">א. אזכיר באופן כללי- לגבי </w:t>
      </w:r>
      <w:r w:rsidRPr="00707920">
        <w:rPr>
          <w:rFonts w:ascii="David" w:hAnsi="David"/>
          <w:b/>
          <w:bCs/>
          <w:u w:val="single"/>
          <w:rtl/>
        </w:rPr>
        <w:t>ההשתק השיפוטי</w:t>
      </w:r>
      <w:r w:rsidRPr="00707920">
        <w:rPr>
          <w:rFonts w:ascii="David" w:hAnsi="David"/>
          <w:u w:val="single"/>
          <w:rtl/>
        </w:rPr>
        <w:t>-</w:t>
      </w:r>
      <w:r w:rsidRPr="00707920">
        <w:rPr>
          <w:rFonts w:ascii="David" w:hAnsi="David"/>
          <w:rtl/>
        </w:rPr>
        <w:t xml:space="preserve"> שהוא  אוסר על בעל דין, להעלות טענות עובדתיות או משפטיות סותרות, גם בהליכים שונים וגם מול מתדיינים שונים. אם נקבע שהתקיימו כל תנאי השתק ולא </w:t>
      </w:r>
      <w:r w:rsidRPr="00707920">
        <w:rPr>
          <w:rFonts w:ascii="David" w:hAnsi="David"/>
        </w:rPr>
        <w:t xml:space="preserve"> </w:t>
      </w:r>
      <w:r w:rsidRPr="00707920">
        <w:rPr>
          <w:rFonts w:ascii="David" w:hAnsi="David"/>
          <w:rtl/>
        </w:rPr>
        <w:t xml:space="preserve"> מתקיים חריג לו, או אז, קמה תוצאה חמורה המשתיקה את בעל הדין מלטעון את הטענה המאוחרת בלא לבדוק אם הטענה היא טענת אמת</w:t>
      </w:r>
      <w:r w:rsidRPr="00707920">
        <w:rPr>
          <w:rFonts w:ascii="David" w:hAnsi="David"/>
        </w:rPr>
        <w:t xml:space="preserve"> </w:t>
      </w:r>
      <w:r w:rsidRPr="00707920">
        <w:rPr>
          <w:rFonts w:ascii="David" w:hAnsi="David"/>
          <w:rtl/>
        </w:rPr>
        <w:t xml:space="preserve"> .</w:t>
      </w:r>
    </w:p>
    <w:p w14:paraId="6067E7ED" w14:textId="77777777" w:rsidR="00707920" w:rsidRPr="00707920" w:rsidRDefault="00707920" w:rsidP="00707920">
      <w:pPr>
        <w:numPr>
          <w:ilvl w:val="0"/>
          <w:numId w:val="2"/>
        </w:numPr>
        <w:suppressLineNumbers/>
        <w:ind w:hanging="531"/>
        <w:contextualSpacing/>
        <w:jc w:val="both"/>
        <w:rPr>
          <w:rFonts w:ascii="David" w:hAnsi="David"/>
          <w:szCs w:val="22"/>
        </w:rPr>
      </w:pPr>
      <w:r w:rsidRPr="00707920">
        <w:rPr>
          <w:rFonts w:ascii="David" w:hAnsi="David"/>
          <w:rtl/>
        </w:rPr>
        <w:t xml:space="preserve">ב. כאמור  לא  מתקיימים התנאים להשתק השיפוטי </w:t>
      </w:r>
      <w:r w:rsidRPr="00707920">
        <w:rPr>
          <w:rFonts w:ascii="David" w:hAnsi="David"/>
        </w:rPr>
        <w:t xml:space="preserve"> </w:t>
      </w:r>
      <w:r w:rsidRPr="00707920">
        <w:rPr>
          <w:rFonts w:ascii="David" w:hAnsi="David"/>
          <w:rtl/>
        </w:rPr>
        <w:t xml:space="preserve">ולגבי התנאים  אזכיר כדלהלן:. </w:t>
      </w:r>
    </w:p>
    <w:p w14:paraId="0D39469E" w14:textId="77777777" w:rsidR="00707920" w:rsidRPr="00707920" w:rsidRDefault="00707920" w:rsidP="00707920">
      <w:pPr>
        <w:numPr>
          <w:ilvl w:val="0"/>
          <w:numId w:val="2"/>
        </w:numPr>
        <w:suppressLineNumbers/>
        <w:ind w:hanging="531"/>
        <w:contextualSpacing/>
        <w:jc w:val="both"/>
        <w:rPr>
          <w:rFonts w:ascii="David" w:hAnsi="David"/>
          <w:szCs w:val="22"/>
        </w:rPr>
      </w:pPr>
      <w:r w:rsidRPr="00707920">
        <w:rPr>
          <w:rFonts w:ascii="David" w:hAnsi="David"/>
        </w:rPr>
        <w:t xml:space="preserve"> </w:t>
      </w:r>
      <w:r w:rsidRPr="00707920">
        <w:rPr>
          <w:rFonts w:ascii="David" w:hAnsi="David"/>
          <w:rtl/>
        </w:rPr>
        <w:t xml:space="preserve">  </w:t>
      </w:r>
      <w:r w:rsidRPr="00707920">
        <w:rPr>
          <w:rFonts w:ascii="David" w:hAnsi="David" w:hint="cs"/>
          <w:u w:val="single"/>
          <w:rtl/>
        </w:rPr>
        <w:t>אין מחלוקת ,שתנאי הכרחי וראשון להשתק השיפוטי הוא    "תנאי הסתירה</w:t>
      </w:r>
      <w:r w:rsidRPr="00707920">
        <w:rPr>
          <w:rFonts w:ascii="David" w:hAnsi="David" w:hint="cs"/>
          <w:rtl/>
        </w:rPr>
        <w:t xml:space="preserve"> "  בין הטענות העובדתיות או המשפטיות – </w:t>
      </w:r>
      <w:r w:rsidRPr="00707920">
        <w:rPr>
          <w:rFonts w:ascii="David" w:hAnsi="David"/>
        </w:rPr>
        <w:t xml:space="preserve"> </w:t>
      </w:r>
      <w:r w:rsidRPr="00707920">
        <w:rPr>
          <w:rFonts w:ascii="David" w:hAnsi="David"/>
          <w:rtl/>
        </w:rPr>
        <w:t xml:space="preserve"> בלעדיו</w:t>
      </w:r>
      <w:r w:rsidRPr="00707920">
        <w:rPr>
          <w:rFonts w:ascii="David" w:hAnsi="David"/>
        </w:rPr>
        <w:t xml:space="preserve"> </w:t>
      </w:r>
      <w:r w:rsidRPr="00707920">
        <w:rPr>
          <w:rFonts w:ascii="David" w:hAnsi="David"/>
          <w:rtl/>
        </w:rPr>
        <w:t xml:space="preserve">ההשתק  השיפוטי לא יקום. על פיו נדרש שבהליך נוכחי מעלה בעל הדין טענה הסותרת, ברמת הניגוד הנדרשת טענה קודמת שלו. זאת אף אם הטענה הקודמת הועלתה קודם כנגד יריב אחר שבעניינו לא נוצר מעשה בית דין. נקבע שאין לאפשר לבעל דין לטעון בהליכים שונים טענות שונות וסותרות, בהתאם למה שסבר שיקדם את עניינו כאילו היה "להטוטן בקרקס" הרוכב על שני זוגות אופניים כמובהר בעניין בית ששון. נקבע שדרגת הסתירה הנדרשת לצורך השתק היא סתירה מובהקת. ראו כב' השופט רובינשטיין </w:t>
      </w:r>
      <w:r w:rsidRPr="00707920">
        <w:rPr>
          <w:rFonts w:ascii="David" w:hAnsi="David"/>
        </w:rPr>
        <w:t xml:space="preserve"> </w:t>
      </w:r>
      <w:r w:rsidRPr="00707920">
        <w:rPr>
          <w:rFonts w:ascii="David" w:hAnsi="David"/>
          <w:rtl/>
        </w:rPr>
        <w:t xml:space="preserve">בע"א 1351/06 </w:t>
      </w:r>
      <w:r w:rsidRPr="00707920">
        <w:rPr>
          <w:rFonts w:ascii="David" w:hAnsi="David"/>
          <w:b/>
          <w:bCs/>
          <w:rtl/>
        </w:rPr>
        <w:t>עו"ד מועין דאוד ח'ורי נ' חברת ארמון ההגמון(קסר אלמוטראן) ב</w:t>
      </w:r>
      <w:r w:rsidRPr="00707920">
        <w:rPr>
          <w:rFonts w:ascii="David" w:hAnsi="David"/>
          <w:rtl/>
        </w:rPr>
        <w:t>ע"מ (פורסם בנבו, 17.09.2007) (להלן: "עניין חורי")‏  פסקה לט שדן בדרגת הסתירה הנדרשת שבין הטענות</w:t>
      </w:r>
      <w:r w:rsidRPr="00707920">
        <w:rPr>
          <w:rFonts w:ascii="David" w:hAnsi="David"/>
        </w:rPr>
        <w:t xml:space="preserve">. </w:t>
      </w:r>
      <w:r w:rsidRPr="00707920">
        <w:rPr>
          <w:rFonts w:ascii="David" w:hAnsi="David"/>
          <w:rtl/>
        </w:rPr>
        <w:t xml:space="preserve"> 25.       נהוג לומר שהדגש בהשתק השיפוטי, הוא על היחס שבין בעל-הדין לבין בית-המשפט, ולא על היחס שבין בעלי הדין עצמם. זאת , כעולה מעניין </w:t>
      </w:r>
      <w:r w:rsidRPr="00707920">
        <w:rPr>
          <w:rFonts w:ascii="David" w:hAnsi="David"/>
        </w:rPr>
        <w:t xml:space="preserve"> </w:t>
      </w:r>
      <w:r w:rsidRPr="00707920">
        <w:rPr>
          <w:rFonts w:ascii="David" w:hAnsi="David"/>
          <w:rtl/>
        </w:rPr>
        <w:t xml:space="preserve">רע"א 4224/04 </w:t>
      </w:r>
      <w:r w:rsidRPr="00707920">
        <w:rPr>
          <w:rFonts w:ascii="David" w:hAnsi="David"/>
          <w:b/>
          <w:bCs/>
          <w:rtl/>
        </w:rPr>
        <w:t>בית ששון בע"מ נ' שיכון עובדים והשקעות בע"מ,</w:t>
      </w:r>
      <w:r w:rsidRPr="00707920">
        <w:rPr>
          <w:rFonts w:ascii="David" w:hAnsi="David"/>
          <w:rtl/>
        </w:rPr>
        <w:t xml:space="preserve"> נט(6) 625 (2005)‏ (לעיל ולהלן: "בית ששון) </w:t>
      </w:r>
    </w:p>
    <w:p w14:paraId="6956D4DE" w14:textId="77777777" w:rsidR="00707920" w:rsidRPr="00707920" w:rsidRDefault="00707920" w:rsidP="00707920">
      <w:pPr>
        <w:numPr>
          <w:ilvl w:val="0"/>
          <w:numId w:val="2"/>
        </w:numPr>
        <w:suppressLineNumbers/>
        <w:ind w:hanging="531"/>
        <w:contextualSpacing/>
        <w:jc w:val="both"/>
        <w:rPr>
          <w:rFonts w:ascii="David" w:hAnsi="David"/>
          <w:szCs w:val="22"/>
        </w:rPr>
      </w:pPr>
      <w:r w:rsidRPr="00707920">
        <w:rPr>
          <w:rFonts w:ascii="David" w:hAnsi="David"/>
          <w:u w:val="single"/>
          <w:rtl/>
        </w:rPr>
        <w:t xml:space="preserve">יש המתייחסים לתנאי נוסף </w:t>
      </w:r>
      <w:r w:rsidRPr="00707920">
        <w:rPr>
          <w:rFonts w:ascii="David" w:hAnsi="David"/>
          <w:u w:val="single"/>
        </w:rPr>
        <w:t xml:space="preserve"> </w:t>
      </w:r>
      <w:r w:rsidRPr="00707920">
        <w:rPr>
          <w:rFonts w:ascii="David" w:hAnsi="David"/>
          <w:u w:val="single"/>
          <w:rtl/>
        </w:rPr>
        <w:t>להשתק השיפוטי שהוא "תנאי ההצלחה בהליך הקודם"</w:t>
      </w:r>
      <w:r w:rsidRPr="00707920">
        <w:rPr>
          <w:rFonts w:ascii="David" w:hAnsi="David"/>
          <w:rtl/>
        </w:rPr>
        <w:t xml:space="preserve"> –   במרוצת השנים, חלו תמורות בפסיקה. בעוד באינטרלגו תנאי ההצלחה נדרש במפורש, והשתק השיפוטי נתפס כמונע טענה סותרת לטענה שמכוחה הצליח הטוען בהליך קודם </w:t>
      </w:r>
      <w:r w:rsidRPr="00707920">
        <w:rPr>
          <w:rFonts w:ascii="David" w:hAnsi="David"/>
          <w:b/>
          <w:bCs/>
          <w:rtl/>
        </w:rPr>
        <w:t>בעניין בית ששון</w:t>
      </w:r>
      <w:r w:rsidRPr="00707920">
        <w:rPr>
          <w:rFonts w:ascii="David" w:hAnsi="David"/>
          <w:rtl/>
        </w:rPr>
        <w:t xml:space="preserve"> חל שינוי דומה שחלה הגמשה לגבי תנאי ההצלחה. לדעת כב' השופטים גרוניס וריבלין לא תמיד נדרשת הצלחה בהליך הקודם, ואת תנאי ההצלחה ניתן לפרש בהרחבה, באופן המסתפק בכך שטענה סותרת התקבלה בהליך הקודם, אף אם לבסוף התביעה נכשלה. ואילו לדעת כב' הש' רובינשטיין, שם, יש ללכת צעד נוסף , ולפטור מהתנאי של ההצלחה הקודמת מחמת עקרון תום הלב. עם זאת, דומה שעמדתו מרוככת בעקרון תום הלב משנאמר מפיו: "כללם של דברים, בעיניי היסוד להשתק השיפוטי הוא יסוד --- סוף עמוד 10 ---   מוסרי, קרי דרישה להתנהלות כנה שאינה בנויה אך על צרכים טקטיים."    תורת השתק השיפוטי לא עוגנה מראש בחיקוק אלא הוחלה בפסיקה מכוח עקרון תום הלב כפן של דוקטרינת, השימוש לרעה בהליכי משפט שכשלעצמה הוחלה מכוח פסיקה ראו   ע"א 513/89</w:t>
      </w:r>
      <w:r w:rsidRPr="00707920">
        <w:rPr>
          <w:rFonts w:ascii="David" w:hAnsi="David"/>
        </w:rPr>
        <w:t xml:space="preserve"> S/interlego </w:t>
      </w:r>
      <w:r w:rsidRPr="00707920">
        <w:rPr>
          <w:rFonts w:ascii="David" w:hAnsi="David"/>
          <w:b/>
          <w:bCs/>
        </w:rPr>
        <w:t xml:space="preserve">a </w:t>
      </w:r>
      <w:r w:rsidRPr="00707920">
        <w:rPr>
          <w:rFonts w:ascii="David" w:hAnsi="David"/>
          <w:b/>
          <w:bCs/>
          <w:rtl/>
        </w:rPr>
        <w:t>נ</w:t>
      </w:r>
      <w:r w:rsidRPr="00707920">
        <w:rPr>
          <w:rFonts w:ascii="David" w:hAnsi="David"/>
          <w:b/>
          <w:bCs/>
        </w:rPr>
        <w:t xml:space="preserve">' lines bros. S.a-exin, </w:t>
      </w:r>
      <w:r w:rsidRPr="00707920">
        <w:rPr>
          <w:rFonts w:ascii="David" w:hAnsi="David"/>
          <w:b/>
          <w:bCs/>
          <w:rtl/>
        </w:rPr>
        <w:t xml:space="preserve">פ"ד </w:t>
      </w:r>
      <w:r w:rsidRPr="00707920">
        <w:rPr>
          <w:rFonts w:ascii="David" w:hAnsi="David"/>
          <w:rtl/>
        </w:rPr>
        <w:t xml:space="preserve">מח(4) 133 (1994)‏ (להלן: "אינטרלגו") כעולה מאינטרלגו. וכן ר' כב' הש' בייניש בבש"א 6479/06 </w:t>
      </w:r>
      <w:r w:rsidRPr="00707920">
        <w:rPr>
          <w:rFonts w:ascii="David" w:hAnsi="David"/>
          <w:b/>
          <w:bCs/>
          <w:rtl/>
        </w:rPr>
        <w:t>בנק דיסקונט לישראל בע"מ נ' משה שנפ</w:t>
      </w:r>
      <w:r w:rsidRPr="00707920">
        <w:rPr>
          <w:rFonts w:ascii="David" w:hAnsi="David"/>
          <w:rtl/>
        </w:rPr>
        <w:t xml:space="preserve"> (פורסם בנבו, 15.01.2007).אולם, עקרון השימוש לרעה בהליך השיפוטי, עוגן בינתיים במפורש כאחד מעקרונות היסוד בסעיף 4 לתקנות  סדר הדין האזרחי.לפירוט והרחבה על דוקטרנת ההשתק השיפוטי ולאסמכתאו ראו בת"א (שלום ראשל"צ) 62382-12-16 </w:t>
      </w:r>
      <w:r w:rsidRPr="00707920">
        <w:rPr>
          <w:rFonts w:ascii="David" w:hAnsi="David"/>
          <w:b/>
          <w:bCs/>
          <w:rtl/>
        </w:rPr>
        <w:t>כלל חברה לביטוח בע"מ נ' ש.כ</w:t>
      </w:r>
      <w:r w:rsidRPr="00707920">
        <w:rPr>
          <w:rFonts w:ascii="David" w:hAnsi="David"/>
          <w:rtl/>
        </w:rPr>
        <w:t> (נבו 05.05.2020)‏‏ ".</w:t>
      </w:r>
      <w:r w:rsidRPr="00707920">
        <w:rPr>
          <w:rFonts w:ascii="David" w:hAnsi="David"/>
        </w:rPr>
        <w:t xml:space="preserve"> </w:t>
      </w:r>
    </w:p>
    <w:p w14:paraId="43312EB3" w14:textId="77777777" w:rsidR="00707920" w:rsidRPr="00707920" w:rsidRDefault="00707920" w:rsidP="00707920">
      <w:pPr>
        <w:pStyle w:val="2"/>
        <w:rPr>
          <w:rFonts w:ascii="David" w:hAnsi="David" w:cs="David"/>
          <w:b/>
          <w:bCs/>
        </w:rPr>
      </w:pPr>
      <w:r w:rsidRPr="00707920">
        <w:rPr>
          <w:rFonts w:ascii="David" w:hAnsi="David" w:cs="David"/>
          <w:rtl/>
        </w:rPr>
        <w:tab/>
      </w:r>
      <w:bookmarkStart w:id="30" w:name="_Toc168898777"/>
      <w:r w:rsidRPr="00707920">
        <w:rPr>
          <w:rFonts w:ascii="David" w:hAnsi="David" w:cs="David"/>
          <w:b/>
          <w:bCs/>
          <w:rtl/>
        </w:rPr>
        <w:t>ו.סוף דבר</w:t>
      </w:r>
      <w:bookmarkEnd w:id="30"/>
      <w:r w:rsidRPr="00707920">
        <w:rPr>
          <w:rFonts w:ascii="David" w:hAnsi="David" w:cs="David"/>
          <w:b/>
          <w:bCs/>
          <w:rtl/>
        </w:rPr>
        <w:t xml:space="preserve"> </w:t>
      </w:r>
    </w:p>
    <w:p w14:paraId="50D97200" w14:textId="64467FB3" w:rsidR="00707920" w:rsidRPr="00707920" w:rsidRDefault="00707920" w:rsidP="000A461F">
      <w:pPr>
        <w:numPr>
          <w:ilvl w:val="0"/>
          <w:numId w:val="2"/>
        </w:numPr>
        <w:suppressLineNumbers/>
        <w:ind w:hanging="531"/>
        <w:contextualSpacing/>
        <w:jc w:val="both"/>
        <w:rPr>
          <w:rFonts w:ascii="David" w:hAnsi="David"/>
          <w:rtl/>
        </w:rPr>
      </w:pPr>
      <w:r w:rsidRPr="00707920">
        <w:rPr>
          <w:rFonts w:ascii="David" w:hAnsi="David"/>
          <w:rtl/>
        </w:rPr>
        <w:t xml:space="preserve">אשר על כן על יסוד האמור לעיל , מצאתי שדין הבקשה </w:t>
      </w:r>
      <w:r w:rsidRPr="00707920">
        <w:rPr>
          <w:rFonts w:ascii="David" w:hAnsi="David"/>
        </w:rPr>
        <w:t xml:space="preserve"> </w:t>
      </w:r>
      <w:r w:rsidRPr="00707920">
        <w:rPr>
          <w:rFonts w:ascii="David" w:hAnsi="David"/>
          <w:rtl/>
        </w:rPr>
        <w:t>לפירוק שיתוף להידחות  הואיל וכך מתחיב מ"הדין המצוי". עם זאת ,</w:t>
      </w:r>
      <w:r w:rsidRPr="00707920">
        <w:rPr>
          <w:rFonts w:ascii="David" w:hAnsi="David"/>
        </w:rPr>
        <w:t xml:space="preserve"> </w:t>
      </w:r>
      <w:r w:rsidRPr="00707920">
        <w:rPr>
          <w:rFonts w:ascii="David" w:hAnsi="David"/>
          <w:rtl/>
        </w:rPr>
        <w:t>ובהמשך גם להתייחסות הגרושה השניה לרצון בהסדר, ולעמדת הממונה המצדדת בהסדר ראיתי לציין שהסדר אכן</w:t>
      </w:r>
      <w:r w:rsidRPr="00707920">
        <w:rPr>
          <w:rFonts w:ascii="David" w:hAnsi="David"/>
        </w:rPr>
        <w:t xml:space="preserve"> </w:t>
      </w:r>
      <w:r w:rsidR="00185C9E">
        <w:rPr>
          <w:rFonts w:ascii="David" w:hAnsi="David" w:hint="cs"/>
          <w:rtl/>
        </w:rPr>
        <w:t xml:space="preserve">היה </w:t>
      </w:r>
      <w:r w:rsidRPr="00707920">
        <w:rPr>
          <w:rFonts w:ascii="David" w:hAnsi="David"/>
          <w:rtl/>
        </w:rPr>
        <w:t>מוצדק ורצוי ויש הצדקה מובהקת</w:t>
      </w:r>
      <w:r w:rsidR="000A461F">
        <w:rPr>
          <w:rFonts w:ascii="David" w:hAnsi="David" w:hint="cs"/>
          <w:rtl/>
        </w:rPr>
        <w:t xml:space="preserve"> גם</w:t>
      </w:r>
      <w:r w:rsidRPr="00707920">
        <w:rPr>
          <w:rFonts w:ascii="David" w:hAnsi="David"/>
        </w:rPr>
        <w:t xml:space="preserve"> </w:t>
      </w:r>
      <w:r w:rsidRPr="00707920">
        <w:rPr>
          <w:rFonts w:ascii="David" w:hAnsi="David"/>
          <w:rtl/>
        </w:rPr>
        <w:t>ל</w:t>
      </w:r>
      <w:r w:rsidR="00185C9E">
        <w:rPr>
          <w:rFonts w:ascii="David" w:hAnsi="David" w:hint="cs"/>
          <w:rtl/>
        </w:rPr>
        <w:t xml:space="preserve">יישם </w:t>
      </w:r>
      <w:r w:rsidR="000A461F">
        <w:rPr>
          <w:rFonts w:ascii="David" w:hAnsi="David" w:hint="cs"/>
          <w:rtl/>
        </w:rPr>
        <w:t xml:space="preserve">את </w:t>
      </w:r>
      <w:r w:rsidR="00185C9E">
        <w:rPr>
          <w:rFonts w:ascii="David" w:hAnsi="David" w:hint="cs"/>
          <w:rtl/>
        </w:rPr>
        <w:t xml:space="preserve">הפתרון שלבסוף הגיעו אליו </w:t>
      </w:r>
      <w:r w:rsidR="000A461F">
        <w:rPr>
          <w:rFonts w:ascii="David" w:hAnsi="David" w:hint="cs"/>
          <w:rtl/>
        </w:rPr>
        <w:t xml:space="preserve">בעמל רב </w:t>
      </w:r>
      <w:r w:rsidR="00185C9E">
        <w:rPr>
          <w:rFonts w:ascii="David" w:hAnsi="David" w:hint="cs"/>
          <w:rtl/>
        </w:rPr>
        <w:t xml:space="preserve">היום </w:t>
      </w:r>
      <w:r w:rsidR="000A461F">
        <w:rPr>
          <w:rFonts w:ascii="David" w:hAnsi="David" w:hint="cs"/>
          <w:rtl/>
        </w:rPr>
        <w:t>ב</w:t>
      </w:r>
      <w:r w:rsidRPr="00707920">
        <w:rPr>
          <w:rFonts w:ascii="David" w:hAnsi="David"/>
          <w:rtl/>
        </w:rPr>
        <w:t>דיון מחוץ לכתלים.הפ</w:t>
      </w:r>
      <w:r w:rsidR="000A461F">
        <w:rPr>
          <w:rFonts w:ascii="David" w:hAnsi="David" w:hint="cs"/>
          <w:rtl/>
        </w:rPr>
        <w:t>י</w:t>
      </w:r>
      <w:r w:rsidRPr="00707920">
        <w:rPr>
          <w:rFonts w:ascii="David" w:hAnsi="David"/>
          <w:rtl/>
        </w:rPr>
        <w:t xml:space="preserve">תרון  הסכמי תחת </w:t>
      </w:r>
      <w:r w:rsidR="000A461F">
        <w:rPr>
          <w:rFonts w:ascii="David" w:hAnsi="David" w:hint="cs"/>
          <w:rtl/>
        </w:rPr>
        <w:t>ה</w:t>
      </w:r>
      <w:r w:rsidRPr="00707920">
        <w:rPr>
          <w:rFonts w:ascii="David" w:hAnsi="David"/>
          <w:rtl/>
        </w:rPr>
        <w:t xml:space="preserve">פיקוח של בעלי התפקיד, עשוי להועיל גם לנושה גם ליחיד וכמסתבר </w:t>
      </w:r>
      <w:r w:rsidRPr="00707920">
        <w:rPr>
          <w:rFonts w:ascii="David" w:hAnsi="David"/>
        </w:rPr>
        <w:t xml:space="preserve"> </w:t>
      </w:r>
      <w:r w:rsidRPr="00707920">
        <w:rPr>
          <w:rFonts w:ascii="David" w:hAnsi="David"/>
          <w:rtl/>
        </w:rPr>
        <w:t>לילדיו משתי גרושותיו.</w:t>
      </w:r>
    </w:p>
    <w:p w14:paraId="40F75632" w14:textId="77777777" w:rsidR="00707920" w:rsidRPr="00707920" w:rsidRDefault="00707920" w:rsidP="00707920">
      <w:pPr>
        <w:numPr>
          <w:ilvl w:val="0"/>
          <w:numId w:val="2"/>
        </w:numPr>
        <w:suppressLineNumbers/>
        <w:ind w:hanging="531"/>
        <w:contextualSpacing/>
        <w:jc w:val="both"/>
        <w:rPr>
          <w:rFonts w:ascii="David" w:hAnsi="David"/>
        </w:rPr>
      </w:pPr>
      <w:r w:rsidRPr="00707920">
        <w:rPr>
          <w:rFonts w:ascii="David" w:hAnsi="David"/>
          <w:rtl/>
        </w:rPr>
        <w:t xml:space="preserve">בנסיבות שלפני לא ראיתי הצדקה להטיל צו להוצאות .  </w:t>
      </w:r>
    </w:p>
    <w:p w14:paraId="167717E0" w14:textId="77777777"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ד' סיוון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10 יוני 2024</w:t>
          </w:r>
        </w:sdtContent>
      </w:sdt>
      <w:r w:rsidR="00005C8B">
        <w:rPr>
          <w:rFonts w:ascii="Arial" w:hAnsi="Arial"/>
          <w:noProof w:val="0"/>
          <w:rtl/>
        </w:rPr>
        <w:t>, בהעדר הצדדים.</w:t>
      </w:r>
    </w:p>
    <w:p w14:paraId="71DBA910" w14:textId="77777777" w:rsidR="00C43648" w:rsidRDefault="00AB7D7F"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14:paraId="12F1CFF7" w14:textId="77777777" w:rsidR="00694556" w:rsidRDefault="00BD6531" w:rsidP="00BD6531">
      <w:pPr>
        <w:tabs>
          <w:tab w:val="left" w:pos="2553"/>
        </w:tabs>
        <w:rPr>
          <w:rFonts w:ascii="Arial" w:hAnsi="Arial"/>
          <w:noProof w:val="0"/>
          <w:rtl/>
        </w:rPr>
      </w:pPr>
      <w:r>
        <w:rPr>
          <w:rFonts w:hint="cs"/>
          <w:rtl/>
        </w:rPr>
        <w:tab/>
      </w:r>
      <w:r>
        <w:rPr>
          <w:rFonts w:hint="cs"/>
          <w:rtl/>
        </w:rPr>
        <w:tab/>
      </w:r>
      <w:r>
        <w:rPr>
          <w:rFonts w:hint="cs"/>
          <w:rtl/>
        </w:rPr>
        <w:tab/>
      </w:r>
      <w:r>
        <w:rPr>
          <w:rFonts w:hint="cs"/>
          <w:rtl/>
        </w:rPr>
        <w:tab/>
        <w:t xml:space="preserve">        </w:t>
      </w:r>
      <w:sdt>
        <w:sdtPr>
          <w:rPr>
            <w:rtl/>
          </w:rPr>
          <w:alias w:val="1237"/>
          <w:tag w:val="1237"/>
          <w:id w:val="1177927602"/>
          <w:text w:multiLine="1"/>
        </w:sdtPr>
        <w:sdtEndPr/>
        <w:sdtContent>
          <w:r w:rsidR="00005C8B">
            <w:rPr>
              <w:rFonts w:ascii="Arial" w:hAnsi="Arial"/>
              <w:noProof w:val="0"/>
              <w:rtl/>
            </w:rPr>
            <w:t>חתימה</w:t>
          </w:r>
        </w:sdtContent>
      </w:sdt>
    </w:p>
    <w:sectPr w:rsidR="00694556" w:rsidSect="00707920">
      <w:headerReference w:type="even" r:id="rId10"/>
      <w:headerReference w:type="default" r:id="rId11"/>
      <w:footerReference w:type="even" r:id="rId12"/>
      <w:footerReference w:type="default" r:id="rId13"/>
      <w:headerReference w:type="first" r:id="rId14"/>
      <w:footerReference w:type="first" r:id="rId15"/>
      <w:pgSz w:w="11907" w:h="16840" w:code="9"/>
      <w:pgMar w:top="720" w:right="720" w:bottom="720" w:left="72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5BB0F2" w14:textId="77777777" w:rsidR="00AB7D7F" w:rsidRDefault="00AB7D7F">
      <w:r>
        <w:separator/>
      </w:r>
    </w:p>
  </w:endnote>
  <w:endnote w:type="continuationSeparator" w:id="0">
    <w:p w14:paraId="60B01FA7" w14:textId="77777777" w:rsidR="00AB7D7F" w:rsidRDefault="00AB7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8891D" w14:textId="77777777" w:rsidR="000A461F" w:rsidRDefault="000A461F">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980D96" w14:textId="0A137140" w:rsidR="00694556" w:rsidRPr="004E6E3C" w:rsidRDefault="000C3B60">
    <w:pPr>
      <w:pStyle w:val="a5"/>
      <w:jc w:val="center"/>
      <w:rPr>
        <w:rStyle w:val="ae"/>
      </w:rPr>
    </w:pPr>
    <w:r w:rsidRPr="004E6E3C">
      <w:rPr>
        <w:rStyle w:val="ae"/>
        <w:rFonts w:cs="Times New Roman"/>
      </w:rPr>
      <w:fldChar w:fldCharType="begin"/>
    </w:r>
    <w:r w:rsidR="00005C8B" w:rsidRPr="004E6E3C">
      <w:rPr>
        <w:rStyle w:val="ae"/>
        <w:rFonts w:cs="Times New Roman"/>
      </w:rPr>
      <w:instrText xml:space="preserve"> PAGE </w:instrText>
    </w:r>
    <w:r w:rsidRPr="004E6E3C">
      <w:rPr>
        <w:rStyle w:val="ae"/>
        <w:rFonts w:cs="Times New Roman"/>
      </w:rPr>
      <w:fldChar w:fldCharType="separate"/>
    </w:r>
    <w:r w:rsidR="0033505A">
      <w:rPr>
        <w:rStyle w:val="ae"/>
        <w:rFonts w:cs="Times New Roman"/>
        <w:rtl/>
      </w:rPr>
      <w:t>1</w:t>
    </w:r>
    <w:r w:rsidRPr="004E6E3C">
      <w:rPr>
        <w:rStyle w:val="ae"/>
        <w:rFonts w:cs="Times New Roman"/>
      </w:rPr>
      <w:fldChar w:fldCharType="end"/>
    </w:r>
    <w:r w:rsidR="00005C8B" w:rsidRPr="004E6E3C">
      <w:rPr>
        <w:rStyle w:val="ae"/>
        <w:rFonts w:hint="cs"/>
        <w:rtl/>
      </w:rPr>
      <w:t xml:space="preserve"> מתוך </w:t>
    </w:r>
    <w:r w:rsidRPr="004E6E3C">
      <w:rPr>
        <w:rStyle w:val="ae"/>
      </w:rPr>
      <w:fldChar w:fldCharType="begin"/>
    </w:r>
    <w:r w:rsidR="00005C8B" w:rsidRPr="004E6E3C">
      <w:rPr>
        <w:rStyle w:val="ae"/>
      </w:rPr>
      <w:instrText xml:space="preserve"> NUMPAGES </w:instrText>
    </w:r>
    <w:r w:rsidRPr="004E6E3C">
      <w:rPr>
        <w:rStyle w:val="ae"/>
      </w:rPr>
      <w:fldChar w:fldCharType="separate"/>
    </w:r>
    <w:r w:rsidR="0033505A">
      <w:rPr>
        <w:rStyle w:val="ae"/>
        <w:rtl/>
      </w:rPr>
      <w:t>16</w:t>
    </w:r>
    <w:r w:rsidRPr="004E6E3C">
      <w:rPr>
        <w:rStyle w:val="a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2E4689" w14:textId="77777777" w:rsidR="000A461F" w:rsidRDefault="000A461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7A63C9" w14:textId="77777777" w:rsidR="00AB7D7F" w:rsidRDefault="00AB7D7F">
      <w:r>
        <w:separator/>
      </w:r>
    </w:p>
  </w:footnote>
  <w:footnote w:type="continuationSeparator" w:id="0">
    <w:p w14:paraId="4558AD26" w14:textId="77777777" w:rsidR="00AB7D7F" w:rsidRDefault="00AB7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584322" w14:textId="77777777" w:rsidR="000A461F" w:rsidRDefault="000A461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D7B8AB" w14:textId="53BD0748" w:rsidR="00694556" w:rsidRDefault="00DC1259">
    <w:pPr>
      <w:pStyle w:val="a3"/>
      <w:jc w:val="center"/>
      <w:rPr>
        <w:rFonts w:cs="FrankRuehl"/>
        <w:noProof w:val="0"/>
        <w:sz w:val="28"/>
        <w:szCs w:val="28"/>
        <w:rtl/>
      </w:rPr>
    </w:pPr>
    <w:r>
      <w:rPr>
        <w:rFonts w:cs="FrankRuehl"/>
        <w:sz w:val="28"/>
        <w:szCs w:val="28"/>
      </w:rPr>
      <w:drawing>
        <wp:inline distT="0" distB="0" distL="0" distR="0" wp14:anchorId="14055D46" wp14:editId="2CD811BC">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14:paraId="37DB4FC5" w14:textId="77777777"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14:paraId="10D433FE" w14:textId="77777777"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בראשון לציון</w:t>
              </w:r>
            </w:p>
          </w:tc>
        </w:sdtContent>
      </w:sdt>
    </w:tr>
    <w:tr w:rsidR="00694556" w14:paraId="3914AEF0" w14:textId="77777777">
      <w:trPr>
        <w:trHeight w:val="337"/>
        <w:jc w:val="center"/>
      </w:trPr>
      <w:tc>
        <w:tcPr>
          <w:tcW w:w="5047" w:type="dxa"/>
        </w:tcPr>
        <w:p w14:paraId="739010C1" w14:textId="77777777" w:rsidR="00694556" w:rsidRDefault="00694556">
          <w:pPr>
            <w:rPr>
              <w:b/>
              <w:bCs/>
              <w:noProof w:val="0"/>
              <w:sz w:val="26"/>
              <w:szCs w:val="26"/>
              <w:rtl/>
            </w:rPr>
          </w:pPr>
        </w:p>
      </w:tc>
      <w:tc>
        <w:tcPr>
          <w:tcW w:w="3674" w:type="dxa"/>
        </w:tcPr>
        <w:p w14:paraId="78DFB44C" w14:textId="77777777" w:rsidR="00694556" w:rsidRDefault="00694556">
          <w:pPr>
            <w:pStyle w:val="a3"/>
            <w:jc w:val="right"/>
            <w:rPr>
              <w:b/>
              <w:bCs/>
              <w:noProof w:val="0"/>
              <w:sz w:val="26"/>
              <w:szCs w:val="26"/>
              <w:rtl/>
            </w:rPr>
          </w:pPr>
        </w:p>
      </w:tc>
    </w:tr>
    <w:tr w:rsidR="00694556" w14:paraId="39B7C300" w14:textId="77777777">
      <w:trPr>
        <w:trHeight w:val="337"/>
        <w:jc w:val="center"/>
      </w:trPr>
      <w:tc>
        <w:tcPr>
          <w:tcW w:w="8721" w:type="dxa"/>
          <w:gridSpan w:val="2"/>
        </w:tcPr>
        <w:p w14:paraId="6987F33E" w14:textId="77777777" w:rsidR="007D45E3" w:rsidRDefault="00AB7D7F" w:rsidP="007D45E3">
          <w:pPr>
            <w:rPr>
              <w:b/>
              <w:bCs/>
              <w:noProof w:val="0"/>
              <w:sz w:val="26"/>
              <w:szCs w:val="26"/>
              <w:rtl/>
            </w:rPr>
          </w:pPr>
          <w:sdt>
            <w:sdtPr>
              <w:rPr>
                <w:rtl/>
              </w:rPr>
              <w:alias w:val="1170"/>
              <w:tag w:val="1170"/>
              <w:id w:val="1066377040"/>
              <w:text w:multiLine="1"/>
            </w:sdtPr>
            <w:sdtEndPr/>
            <w:sdtContent>
              <w:r w:rsidR="00431C0D">
                <w:rPr>
                  <w:b/>
                  <w:bCs/>
                  <w:noProof w:val="0"/>
                  <w:sz w:val="26"/>
                  <w:szCs w:val="26"/>
                  <w:rtl/>
                </w:rPr>
                <w:t>חדל"פ</w:t>
              </w:r>
            </w:sdtContent>
          </w:sdt>
          <w:r w:rsidR="00005C8B">
            <w:rPr>
              <w:b/>
              <w:bCs/>
              <w:noProof w:val="0"/>
              <w:sz w:val="26"/>
              <w:szCs w:val="26"/>
              <w:rtl/>
            </w:rPr>
            <w:t xml:space="preserve"> </w:t>
          </w:r>
          <w:sdt>
            <w:sdtPr>
              <w:rPr>
                <w:rtl/>
              </w:rPr>
              <w:alias w:val="1171"/>
              <w:tag w:val="1171"/>
              <w:id w:val="257034231"/>
              <w:text w:multiLine="1"/>
            </w:sdtPr>
            <w:sdtEndPr/>
            <w:sdtContent>
              <w:r w:rsidR="00431C0D">
                <w:rPr>
                  <w:b/>
                  <w:bCs/>
                  <w:noProof w:val="0"/>
                  <w:sz w:val="26"/>
                  <w:szCs w:val="26"/>
                  <w:rtl/>
                </w:rPr>
                <w:t>66330-01-23</w:t>
              </w:r>
            </w:sdtContent>
          </w:sdt>
          <w:r w:rsidR="00005C8B">
            <w:rPr>
              <w:b/>
              <w:bCs/>
              <w:noProof w:val="0"/>
              <w:sz w:val="26"/>
              <w:szCs w:val="26"/>
              <w:rtl/>
            </w:rPr>
            <w:t xml:space="preserve"> </w:t>
          </w:r>
          <w:sdt>
            <w:sdtPr>
              <w:rPr>
                <w:rtl/>
              </w:rPr>
              <w:alias w:val="1172"/>
              <w:tag w:val="1172"/>
              <w:id w:val="-595170033"/>
              <w:text w:multiLine="1"/>
            </w:sdtPr>
            <w:sdtEndPr/>
            <w:sdtContent>
              <w:r w:rsidR="00431C0D">
                <w:rPr>
                  <w:b/>
                  <w:bCs/>
                  <w:noProof w:val="0"/>
                  <w:sz w:val="26"/>
                  <w:szCs w:val="26"/>
                  <w:rtl/>
                </w:rPr>
                <w:t>במני חדד נ' חדד ואח'</w:t>
              </w:r>
            </w:sdtContent>
          </w:sdt>
        </w:p>
        <w:p w14:paraId="1F8B8B5C" w14:textId="77777777" w:rsidR="007D45E3" w:rsidRPr="007B7765" w:rsidRDefault="007D45E3" w:rsidP="007D45E3">
          <w:pPr>
            <w:rPr>
              <w:b/>
              <w:bCs/>
              <w:noProof w:val="0"/>
              <w:sz w:val="2"/>
              <w:szCs w:val="2"/>
              <w:rtl/>
            </w:rPr>
          </w:pPr>
        </w:p>
        <w:p w14:paraId="476E093C" w14:textId="77777777" w:rsidR="007D45E3" w:rsidRDefault="007D45E3" w:rsidP="007D45E3">
          <w:pPr>
            <w:rPr>
              <w:sz w:val="20"/>
              <w:szCs w:val="20"/>
              <w:rtl/>
            </w:rPr>
          </w:pPr>
          <w:r>
            <w:rPr>
              <w:rFonts w:hint="cs"/>
              <w:rtl/>
            </w:rPr>
            <w:t xml:space="preserve">                           </w:t>
          </w:r>
          <w:r>
            <w:rPr>
              <w:rFonts w:hint="cs"/>
              <w:sz w:val="20"/>
              <w:szCs w:val="20"/>
              <w:rtl/>
            </w:rPr>
            <w:t xml:space="preserve">                                       </w:t>
          </w:r>
        </w:p>
        <w:p w14:paraId="63652134" w14:textId="77777777"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14:paraId="59C09B2F" w14:textId="77777777"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B67DD" w14:textId="77777777" w:rsidR="000A461F" w:rsidRDefault="000A46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F62973"/>
    <w:multiLevelType w:val="hybridMultilevel"/>
    <w:tmpl w:val="F2820360"/>
    <w:lvl w:ilvl="0" w:tplc="C44C22CA">
      <w:start w:val="1"/>
      <w:numFmt w:val="decimal"/>
      <w:lvlText w:val="%1."/>
      <w:lvlJc w:val="left"/>
      <w:pPr>
        <w:ind w:left="501" w:hanging="360"/>
      </w:pPr>
      <w:rPr>
        <w:rFonts w:cs="Times New Roman"/>
        <w:b/>
        <w:bCs w:val="0"/>
        <w:sz w:val="24"/>
        <w:lang w:val="en-US"/>
      </w:rPr>
    </w:lvl>
    <w:lvl w:ilvl="1" w:tplc="D7461EFC">
      <w:start w:val="1"/>
      <w:numFmt w:val="hebrew1"/>
      <w:lvlText w:val="%2."/>
      <w:lvlJc w:val="center"/>
      <w:pPr>
        <w:ind w:left="1440" w:hanging="360"/>
      </w:pPr>
      <w:rPr>
        <w:rFonts w:cs="Times New Roman"/>
        <w:b w:val="0"/>
        <w:bCs w:val="0"/>
        <w:lang w:val="en-US"/>
      </w:rPr>
    </w:lvl>
    <w:lvl w:ilvl="2" w:tplc="04FA3A7C">
      <w:start w:val="1"/>
      <w:numFmt w:val="lowerRoman"/>
      <w:lvlText w:val="%3."/>
      <w:lvlJc w:val="right"/>
      <w:pPr>
        <w:ind w:left="2160" w:hanging="180"/>
      </w:pPr>
      <w:rPr>
        <w:rFonts w:cs="Times New Roman"/>
      </w:rPr>
    </w:lvl>
    <w:lvl w:ilvl="3" w:tplc="2B70BC16">
      <w:start w:val="1"/>
      <w:numFmt w:val="hebrew1"/>
      <w:lvlText w:val="%4."/>
      <w:lvlJc w:val="left"/>
      <w:pPr>
        <w:ind w:left="2880" w:hanging="360"/>
      </w:pPr>
      <w:rPr>
        <w:rFonts w:cs="David"/>
      </w:rPr>
    </w:lvl>
    <w:lvl w:ilvl="4" w:tplc="3D1A9774">
      <w:start w:val="1"/>
      <w:numFmt w:val="lowerLetter"/>
      <w:lvlText w:val="%5."/>
      <w:lvlJc w:val="left"/>
      <w:pPr>
        <w:ind w:left="3600" w:hanging="360"/>
      </w:pPr>
      <w:rPr>
        <w:rFonts w:cs="Times New Roman"/>
      </w:rPr>
    </w:lvl>
    <w:lvl w:ilvl="5" w:tplc="EC7873D4">
      <w:start w:val="1"/>
      <w:numFmt w:val="lowerRoman"/>
      <w:lvlText w:val="%6."/>
      <w:lvlJc w:val="right"/>
      <w:pPr>
        <w:ind w:left="4320" w:hanging="180"/>
      </w:pPr>
      <w:rPr>
        <w:rFonts w:cs="Times New Roman"/>
      </w:rPr>
    </w:lvl>
    <w:lvl w:ilvl="6" w:tplc="EE4EECAC">
      <w:start w:val="1"/>
      <w:numFmt w:val="decimal"/>
      <w:lvlText w:val="%7."/>
      <w:lvlJc w:val="left"/>
      <w:pPr>
        <w:ind w:left="5040" w:hanging="360"/>
      </w:pPr>
      <w:rPr>
        <w:rFonts w:cs="Times New Roman"/>
      </w:rPr>
    </w:lvl>
    <w:lvl w:ilvl="7" w:tplc="0FF0E900">
      <w:start w:val="1"/>
      <w:numFmt w:val="lowerLetter"/>
      <w:lvlText w:val="%8."/>
      <w:lvlJc w:val="left"/>
      <w:pPr>
        <w:ind w:left="5760" w:hanging="360"/>
      </w:pPr>
      <w:rPr>
        <w:rFonts w:cs="Times New Roman"/>
      </w:rPr>
    </w:lvl>
    <w:lvl w:ilvl="8" w:tplc="3150403A">
      <w:start w:val="1"/>
      <w:numFmt w:val="lowerRoman"/>
      <w:lvlText w:val="%9."/>
      <w:lvlJc w:val="right"/>
      <w:pPr>
        <w:ind w:left="6480" w:hanging="180"/>
      </w:pPr>
      <w:rPr>
        <w:rFonts w:cs="Times New Roman"/>
      </w:rPr>
    </w:lvl>
  </w:abstractNum>
  <w:abstractNum w:abstractNumId="1" w15:restartNumberingAfterBreak="0">
    <w:nsid w:val="64FD138D"/>
    <w:multiLevelType w:val="hybridMultilevel"/>
    <w:tmpl w:val="D4985E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952492"/>
    <w:docVar w:name="CourtID" w:val="40"/>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9952492&amp;lt;/CaseID&amp;gt;_x000d__x000a_        &amp;lt;DocumentID&amp;gt;445609347&amp;lt;/DocumentID&amp;gt;_x000d__x000a_      &amp;lt;/dt_DocumentCase&amp;gt;_x000d__x000a_      &amp;lt;dt_Document diffgr:id=&amp;quot;dt_Document1&amp;quot; msdata:rowOrder=&amp;quot;0&amp;quot;&amp;gt;_x000d__x000a_        &amp;lt;DocumentID&amp;gt;445609347&amp;lt;/DocumentID&amp;gt;_x000d__x000a_        &amp;lt;DocumentMainID&amp;gt;0&amp;lt;/DocumentMainID&amp;gt;_x000d__x000a_        &amp;lt;CaseID&amp;gt;79952492&amp;lt;/CaseID&amp;gt;_x000d__x000a_        &amp;lt;DocumentIncludedDate&amp;gt;2024-06-10T19:10:08.527+03:00&amp;lt;/DocumentIncludedDate&amp;gt;_x000d__x000a_        &amp;lt;DocumentDesc&amp;gt;החלטה  שניתנה ע&amp;quot;י  אילן בן-דור&amp;lt;/DocumentDesc&amp;gt;_x000d__x000a_        &amp;lt;DocumentDirectionID&amp;gt;2&amp;lt;/DocumentDirectionID&amp;gt;_x000d__x000a_        &amp;lt;SourceID&amp;gt;1&amp;lt;/SourceID&amp;gt;_x000d__x000a_        &amp;lt;VersionNumber&amp;gt;2&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1&amp;lt;/DocumentTypeID&amp;gt;_x000d__x000a_        &amp;lt;DocumentSavingDate&amp;gt;2024-06-10T19:10:08.527+03:00&amp;lt;/DocumentSavingDate&amp;gt;_x000d__x000a_        &amp;lt;DocumentChangeDate&amp;gt;2024-06-10T19:10:08.65+03:00&amp;lt;/DocumentChangeDate&amp;gt;_x000d__x000a_        &amp;lt;IsScanned&amp;gt;false&amp;lt;/IsScanned&amp;gt;_x000d__x000a_        &amp;lt;PageQuantity&amp;gt;0&amp;lt;/PageQuantity&amp;gt;_x000d__x000a_        &amp;lt;DocumentStatusID&amp;gt;2&amp;lt;/DocumentStatusID&amp;gt;_x000d__x000a_        &amp;lt;DocumentStatusChangeDate&amp;gt;2024-06-10T19:10:08.65+03:00&amp;lt;/DocumentStatusChangeDate&amp;gt;_x000d__x000a_        &amp;lt;TemplateVersionID&amp;gt;1&amp;lt;/TemplateVersionID&amp;gt;_x000d__x000a_        &amp;lt;DocumentChangeUserID&amp;gt;059649806@GOV.IL&amp;lt;/DocumentChangeUserID&amp;gt;_x000d__x000a_        &amp;lt;DocumentCreationUserID&amp;gt;059649806@GOV.IL&amp;lt;/DocumentCreationUserID&amp;gt;_x000d__x000a_        &amp;lt;OriginalDocumentID&amp;gt;445484360&amp;lt;/OriginalDocumentID&amp;gt;_x000d__x000a_        &amp;lt;PrivillegeID&amp;gt;1&amp;lt;/PrivillegeID&amp;gt;_x000d__x000a_        &amp;lt;FromPage&amp;gt;0&amp;lt;/FromPage&amp;gt;_x000d__x000a_        &amp;lt;ToPage&amp;gt;0&amp;lt;/ToPage&amp;gt;_x000d__x000a_        &amp;lt;FileID&amp;gt;2b01ea0290010000090037f6aa53b8d0&amp;lt;/FileID&amp;gt;_x000d__x000a_        &amp;lt;URL&amp;gt;\\CTLNFSV02\doc_repository\48\19\32d4920290010000090037f6aa53bd2e_copy.docx&amp;lt;/URL&amp;gt;_x000d__x000a_        &amp;lt;OlivePriority&amp;gt;1&amp;lt;/OlivePriority&amp;gt;_x000d__x000a_        &amp;lt;MetaDataTypeID&amp;gt;1&amp;lt;/MetaDataTypeID&amp;gt;_x000d__x000a_        &amp;lt;MetaDataChangeDate&amp;gt;2024-06-10T19:10:08.65+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1&amp;amp;lt;/anyType&amp;amp;gt;_x000d__x000a_    &amp;amp;lt;anyType xsi:type=&amp;quot;xsd:string&amp;quot;&amp;amp;gt;1&amp;amp;lt;/anyType&amp;amp;gt;_x000d__x000a_    &amp;amp;lt;anyType xsi:type=&amp;quot;xsd:string&amp;quot;&amp;amp;gt;אילן בן-דור&amp;amp;lt;/anyType&amp;amp;gt;_x000d__x000a_    &amp;amp;lt;anyType xsi:type=&amp;quot;xsd:dateTime&amp;quot;&amp;amp;gt;2024-06-10T16:03:50.133&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06-10T16:03:50.133+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0B63"/>
    <w:rsid w:val="0000226B"/>
    <w:rsid w:val="00005C8B"/>
    <w:rsid w:val="00027602"/>
    <w:rsid w:val="000355EE"/>
    <w:rsid w:val="000529D2"/>
    <w:rsid w:val="000564AB"/>
    <w:rsid w:val="0006424A"/>
    <w:rsid w:val="00064FBD"/>
    <w:rsid w:val="00082AB2"/>
    <w:rsid w:val="000906FE"/>
    <w:rsid w:val="00096AF7"/>
    <w:rsid w:val="000A461F"/>
    <w:rsid w:val="000B344B"/>
    <w:rsid w:val="000C3B0F"/>
    <w:rsid w:val="000C3B60"/>
    <w:rsid w:val="000D159D"/>
    <w:rsid w:val="000E0DD2"/>
    <w:rsid w:val="000E3AF1"/>
    <w:rsid w:val="000F0BC8"/>
    <w:rsid w:val="000F0DD6"/>
    <w:rsid w:val="00107E6D"/>
    <w:rsid w:val="0011194C"/>
    <w:rsid w:val="0011424C"/>
    <w:rsid w:val="001173C6"/>
    <w:rsid w:val="00117B03"/>
    <w:rsid w:val="001367BC"/>
    <w:rsid w:val="0014119A"/>
    <w:rsid w:val="00144D2A"/>
    <w:rsid w:val="0014653E"/>
    <w:rsid w:val="00180519"/>
    <w:rsid w:val="00185C9E"/>
    <w:rsid w:val="00191C82"/>
    <w:rsid w:val="001C4003"/>
    <w:rsid w:val="001D4DBF"/>
    <w:rsid w:val="001E75CA"/>
    <w:rsid w:val="001F22E0"/>
    <w:rsid w:val="002265FF"/>
    <w:rsid w:val="0023446E"/>
    <w:rsid w:val="00271B56"/>
    <w:rsid w:val="002C344E"/>
    <w:rsid w:val="002E75E9"/>
    <w:rsid w:val="002F0B1E"/>
    <w:rsid w:val="00307A6A"/>
    <w:rsid w:val="00307C40"/>
    <w:rsid w:val="00320433"/>
    <w:rsid w:val="003230C7"/>
    <w:rsid w:val="00327E50"/>
    <w:rsid w:val="0033505A"/>
    <w:rsid w:val="0033597A"/>
    <w:rsid w:val="00343D89"/>
    <w:rsid w:val="00362612"/>
    <w:rsid w:val="0036743F"/>
    <w:rsid w:val="003715DD"/>
    <w:rsid w:val="003823E0"/>
    <w:rsid w:val="003A4521"/>
    <w:rsid w:val="003D1C8C"/>
    <w:rsid w:val="0040096C"/>
    <w:rsid w:val="00405FAA"/>
    <w:rsid w:val="00414F1F"/>
    <w:rsid w:val="0043125D"/>
    <w:rsid w:val="00431C0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F4F09"/>
    <w:rsid w:val="0061431B"/>
    <w:rsid w:val="00622BAA"/>
    <w:rsid w:val="006306CF"/>
    <w:rsid w:val="00644E9A"/>
    <w:rsid w:val="00671BD5"/>
    <w:rsid w:val="006805C1"/>
    <w:rsid w:val="00686C21"/>
    <w:rsid w:val="00687D2B"/>
    <w:rsid w:val="006931C1"/>
    <w:rsid w:val="00693D29"/>
    <w:rsid w:val="00694556"/>
    <w:rsid w:val="006B4727"/>
    <w:rsid w:val="006B5497"/>
    <w:rsid w:val="006C30C5"/>
    <w:rsid w:val="006D3B31"/>
    <w:rsid w:val="006E0D96"/>
    <w:rsid w:val="006E1A53"/>
    <w:rsid w:val="006F56E6"/>
    <w:rsid w:val="00704EDA"/>
    <w:rsid w:val="00707920"/>
    <w:rsid w:val="00721122"/>
    <w:rsid w:val="00734689"/>
    <w:rsid w:val="00753019"/>
    <w:rsid w:val="00754801"/>
    <w:rsid w:val="00761441"/>
    <w:rsid w:val="00795365"/>
    <w:rsid w:val="007957CF"/>
    <w:rsid w:val="007A351D"/>
    <w:rsid w:val="007B7765"/>
    <w:rsid w:val="007C5BDD"/>
    <w:rsid w:val="007D45E3"/>
    <w:rsid w:val="007E6115"/>
    <w:rsid w:val="007F4609"/>
    <w:rsid w:val="00814468"/>
    <w:rsid w:val="008176A1"/>
    <w:rsid w:val="00820005"/>
    <w:rsid w:val="00844318"/>
    <w:rsid w:val="00863F5D"/>
    <w:rsid w:val="00870890"/>
    <w:rsid w:val="00873602"/>
    <w:rsid w:val="00875D12"/>
    <w:rsid w:val="0088479D"/>
    <w:rsid w:val="00891F42"/>
    <w:rsid w:val="00896889"/>
    <w:rsid w:val="008A6E97"/>
    <w:rsid w:val="008C5714"/>
    <w:rsid w:val="008D10B2"/>
    <w:rsid w:val="00903896"/>
    <w:rsid w:val="00906F3D"/>
    <w:rsid w:val="00920C00"/>
    <w:rsid w:val="0094424E"/>
    <w:rsid w:val="00955642"/>
    <w:rsid w:val="009622DF"/>
    <w:rsid w:val="0096493F"/>
    <w:rsid w:val="00967DFF"/>
    <w:rsid w:val="00994341"/>
    <w:rsid w:val="009D1A48"/>
    <w:rsid w:val="009E1032"/>
    <w:rsid w:val="009E1CE7"/>
    <w:rsid w:val="009E4EA5"/>
    <w:rsid w:val="009F164B"/>
    <w:rsid w:val="009F323C"/>
    <w:rsid w:val="00A3392B"/>
    <w:rsid w:val="00A73C19"/>
    <w:rsid w:val="00A85E34"/>
    <w:rsid w:val="00A9144F"/>
    <w:rsid w:val="00A94B64"/>
    <w:rsid w:val="00AA3229"/>
    <w:rsid w:val="00AA7596"/>
    <w:rsid w:val="00AB5E52"/>
    <w:rsid w:val="00AB7D7F"/>
    <w:rsid w:val="00AC3B02"/>
    <w:rsid w:val="00AC3B7B"/>
    <w:rsid w:val="00AC5209"/>
    <w:rsid w:val="00AD034E"/>
    <w:rsid w:val="00AE0E34"/>
    <w:rsid w:val="00AE729E"/>
    <w:rsid w:val="00AE7752"/>
    <w:rsid w:val="00AF7FDA"/>
    <w:rsid w:val="00B32209"/>
    <w:rsid w:val="00B5356E"/>
    <w:rsid w:val="00B809AD"/>
    <w:rsid w:val="00B80CBD"/>
    <w:rsid w:val="00B86096"/>
    <w:rsid w:val="00B964D9"/>
    <w:rsid w:val="00BA0A7C"/>
    <w:rsid w:val="00BA517C"/>
    <w:rsid w:val="00BA6135"/>
    <w:rsid w:val="00BB0379"/>
    <w:rsid w:val="00BB3D05"/>
    <w:rsid w:val="00BB73BE"/>
    <w:rsid w:val="00BC2D89"/>
    <w:rsid w:val="00BD6531"/>
    <w:rsid w:val="00BE05B2"/>
    <w:rsid w:val="00BE5A26"/>
    <w:rsid w:val="00BF1908"/>
    <w:rsid w:val="00C22D93"/>
    <w:rsid w:val="00C23458"/>
    <w:rsid w:val="00C31120"/>
    <w:rsid w:val="00C34482"/>
    <w:rsid w:val="00C43648"/>
    <w:rsid w:val="00C50A9F"/>
    <w:rsid w:val="00C642FA"/>
    <w:rsid w:val="00C80EE1"/>
    <w:rsid w:val="00C84665"/>
    <w:rsid w:val="00CC7622"/>
    <w:rsid w:val="00CD608F"/>
    <w:rsid w:val="00CE5B3D"/>
    <w:rsid w:val="00CF6BB7"/>
    <w:rsid w:val="00D04AA4"/>
    <w:rsid w:val="00D04E03"/>
    <w:rsid w:val="00D27982"/>
    <w:rsid w:val="00D33B86"/>
    <w:rsid w:val="00D36CF6"/>
    <w:rsid w:val="00D44968"/>
    <w:rsid w:val="00D53924"/>
    <w:rsid w:val="00D55D0C"/>
    <w:rsid w:val="00D96D8C"/>
    <w:rsid w:val="00DA6649"/>
    <w:rsid w:val="00DC1259"/>
    <w:rsid w:val="00DC1BD2"/>
    <w:rsid w:val="00DC2571"/>
    <w:rsid w:val="00DC487C"/>
    <w:rsid w:val="00DD4335"/>
    <w:rsid w:val="00DE1E7D"/>
    <w:rsid w:val="00DE6BF6"/>
    <w:rsid w:val="00DF5A6A"/>
    <w:rsid w:val="00E1068A"/>
    <w:rsid w:val="00E25884"/>
    <w:rsid w:val="00E25B55"/>
    <w:rsid w:val="00E31C2B"/>
    <w:rsid w:val="00E5426A"/>
    <w:rsid w:val="00E54642"/>
    <w:rsid w:val="00E80CBE"/>
    <w:rsid w:val="00E9269D"/>
    <w:rsid w:val="00E962E3"/>
    <w:rsid w:val="00EB6C79"/>
    <w:rsid w:val="00EC37E9"/>
    <w:rsid w:val="00EF44B7"/>
    <w:rsid w:val="00F038D8"/>
    <w:rsid w:val="00F06995"/>
    <w:rsid w:val="00F12D66"/>
    <w:rsid w:val="00F13623"/>
    <w:rsid w:val="00F32E3A"/>
    <w:rsid w:val="00F44D1D"/>
    <w:rsid w:val="00F64AAF"/>
    <w:rsid w:val="00F84B6D"/>
    <w:rsid w:val="00F957E8"/>
    <w:rsid w:val="00FA311A"/>
    <w:rsid w:val="00FA5FDA"/>
    <w:rsid w:val="00FB6AB3"/>
    <w:rsid w:val="00FD1419"/>
    <w:rsid w:val="00FD79E4"/>
    <w:rsid w:val="00FE2894"/>
    <w:rsid w:val="00FE45F7"/>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2D21D3"/>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1">
    <w:name w:val="heading 1"/>
    <w:basedOn w:val="a"/>
    <w:next w:val="a"/>
    <w:link w:val="10"/>
    <w:qFormat/>
    <w:rsid w:val="0070792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semiHidden/>
    <w:unhideWhenUsed/>
    <w:qFormat/>
    <w:rsid w:val="0070792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semiHidden/>
    <w:unhideWhenUsed/>
    <w:qFormat/>
    <w:rsid w:val="00707920"/>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0"/>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64423"/>
    <w:pPr>
      <w:tabs>
        <w:tab w:val="center" w:pos="4153"/>
        <w:tab w:val="right" w:pos="8306"/>
      </w:tabs>
    </w:pPr>
  </w:style>
  <w:style w:type="paragraph" w:styleId="a5">
    <w:name w:val="footer"/>
    <w:basedOn w:val="a"/>
    <w:link w:val="a6"/>
    <w:uiPriority w:val="99"/>
    <w:rsid w:val="00C64423"/>
    <w:pPr>
      <w:tabs>
        <w:tab w:val="center" w:pos="4153"/>
        <w:tab w:val="right" w:pos="8306"/>
      </w:tabs>
    </w:pPr>
  </w:style>
  <w:style w:type="paragraph" w:customStyle="1" w:styleId="a7">
    <w:name w:val="סעיפים"/>
    <w:basedOn w:val="a"/>
    <w:uiPriority w:val="99"/>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8">
    <w:name w:val="annotation text"/>
    <w:basedOn w:val="a"/>
    <w:link w:val="11"/>
    <w:uiPriority w:val="99"/>
    <w:semiHidden/>
    <w:rsid w:val="00C64423"/>
    <w:rPr>
      <w:rFonts w:cs="Times New Roman"/>
      <w:noProof w:val="0"/>
    </w:rPr>
  </w:style>
  <w:style w:type="character" w:styleId="a9">
    <w:name w:val="annotation reference"/>
    <w:basedOn w:val="a0"/>
    <w:semiHidden/>
    <w:rsid w:val="00C64423"/>
    <w:rPr>
      <w:sz w:val="16"/>
      <w:szCs w:val="16"/>
    </w:rPr>
  </w:style>
  <w:style w:type="paragraph" w:styleId="aa">
    <w:name w:val="Balloon Text"/>
    <w:basedOn w:val="a"/>
    <w:link w:val="ab"/>
    <w:uiPriority w:val="99"/>
    <w:semiHidden/>
    <w:rsid w:val="00C64423"/>
    <w:rPr>
      <w:rFonts w:ascii="Tahoma" w:hAnsi="Tahoma" w:cs="Tahoma"/>
      <w:sz w:val="16"/>
      <w:szCs w:val="16"/>
    </w:rPr>
  </w:style>
  <w:style w:type="table" w:styleId="ac">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line number"/>
    <w:basedOn w:val="a0"/>
    <w:rsid w:val="00C64423"/>
  </w:style>
  <w:style w:type="character" w:styleId="ae">
    <w:name w:val="page number"/>
    <w:basedOn w:val="a0"/>
    <w:rsid w:val="00C64423"/>
  </w:style>
  <w:style w:type="table" w:customStyle="1" w:styleId="12">
    <w:name w:val="טבלת רשת1"/>
    <w:basedOn w:val="a1"/>
    <w:next w:val="ac"/>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0"/>
    <w:uiPriority w:val="99"/>
    <w:semiHidden/>
    <w:rsid w:val="003230C7"/>
    <w:rPr>
      <w:color w:val="808080"/>
    </w:rPr>
  </w:style>
  <w:style w:type="character" w:customStyle="1" w:styleId="10">
    <w:name w:val="כותרת 1 תו"/>
    <w:basedOn w:val="a0"/>
    <w:link w:val="1"/>
    <w:rsid w:val="00707920"/>
    <w:rPr>
      <w:rFonts w:asciiTheme="majorHAnsi" w:eastAsiaTheme="majorEastAsia" w:hAnsiTheme="majorHAnsi" w:cstheme="majorBidi"/>
      <w:noProof/>
      <w:color w:val="365F91" w:themeColor="accent1" w:themeShade="BF"/>
      <w:sz w:val="32"/>
      <w:szCs w:val="32"/>
    </w:rPr>
  </w:style>
  <w:style w:type="character" w:customStyle="1" w:styleId="20">
    <w:name w:val="כותרת 2 תו"/>
    <w:basedOn w:val="a0"/>
    <w:link w:val="2"/>
    <w:semiHidden/>
    <w:rsid w:val="00707920"/>
    <w:rPr>
      <w:rFonts w:asciiTheme="majorHAnsi" w:eastAsiaTheme="majorEastAsia" w:hAnsiTheme="majorHAnsi" w:cstheme="majorBidi"/>
      <w:noProof/>
      <w:color w:val="365F91" w:themeColor="accent1" w:themeShade="BF"/>
      <w:sz w:val="26"/>
      <w:szCs w:val="26"/>
    </w:rPr>
  </w:style>
  <w:style w:type="character" w:customStyle="1" w:styleId="30">
    <w:name w:val="כותרת 3 תו"/>
    <w:basedOn w:val="a0"/>
    <w:link w:val="3"/>
    <w:semiHidden/>
    <w:rsid w:val="00707920"/>
    <w:rPr>
      <w:rFonts w:asciiTheme="majorHAnsi" w:eastAsiaTheme="majorEastAsia" w:hAnsiTheme="majorHAnsi" w:cstheme="majorBidi"/>
      <w:noProof/>
      <w:color w:val="243F60" w:themeColor="accent1" w:themeShade="7F"/>
      <w:sz w:val="24"/>
      <w:szCs w:val="24"/>
    </w:rPr>
  </w:style>
  <w:style w:type="character" w:customStyle="1" w:styleId="40">
    <w:name w:val="כותרת 4 תו"/>
    <w:basedOn w:val="a0"/>
    <w:link w:val="4"/>
    <w:rsid w:val="00707920"/>
    <w:rPr>
      <w:rFonts w:cs="Narkisim"/>
      <w:b/>
      <w:bCs/>
      <w:noProof/>
      <w:sz w:val="24"/>
      <w:szCs w:val="24"/>
      <w14:shadow w14:blurRad="50800" w14:dist="38100" w14:dir="2700000" w14:sx="100000" w14:sy="100000" w14:kx="0" w14:ky="0" w14:algn="tl">
        <w14:srgbClr w14:val="000000">
          <w14:alpha w14:val="60000"/>
        </w14:srgbClr>
      </w14:shadow>
    </w:rPr>
  </w:style>
  <w:style w:type="character" w:styleId="Hyperlink">
    <w:name w:val="Hyperlink"/>
    <w:basedOn w:val="a0"/>
    <w:uiPriority w:val="99"/>
    <w:unhideWhenUsed/>
    <w:rsid w:val="00707920"/>
    <w:rPr>
      <w:color w:val="0000FF"/>
      <w:u w:val="single"/>
    </w:rPr>
  </w:style>
  <w:style w:type="character" w:styleId="FollowedHyperlink">
    <w:name w:val="FollowedHyperlink"/>
    <w:basedOn w:val="a0"/>
    <w:semiHidden/>
    <w:unhideWhenUsed/>
    <w:rsid w:val="00707920"/>
    <w:rPr>
      <w:color w:val="800080" w:themeColor="followedHyperlink"/>
      <w:u w:val="single"/>
    </w:rPr>
  </w:style>
  <w:style w:type="paragraph" w:styleId="HTML">
    <w:name w:val="HTML Preformatted"/>
    <w:basedOn w:val="a"/>
    <w:link w:val="HTML0"/>
    <w:uiPriority w:val="99"/>
    <w:semiHidden/>
    <w:unhideWhenUsed/>
    <w:rsid w:val="007079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pPr>
    <w:rPr>
      <w:rFonts w:ascii="Courier New" w:eastAsiaTheme="minorHAnsi" w:hAnsi="Courier New" w:cs="Courier New"/>
      <w:noProof w:val="0"/>
      <w:sz w:val="20"/>
      <w:szCs w:val="20"/>
    </w:rPr>
  </w:style>
  <w:style w:type="character" w:customStyle="1" w:styleId="HTML0">
    <w:name w:val="HTML מעוצב מראש תו"/>
    <w:basedOn w:val="a0"/>
    <w:link w:val="HTML"/>
    <w:uiPriority w:val="99"/>
    <w:semiHidden/>
    <w:rsid w:val="00707920"/>
    <w:rPr>
      <w:rFonts w:ascii="Courier New" w:eastAsiaTheme="minorHAnsi" w:hAnsi="Courier New" w:cs="Courier New"/>
    </w:rPr>
  </w:style>
  <w:style w:type="paragraph" w:customStyle="1" w:styleId="msonormal0">
    <w:name w:val="msonormal"/>
    <w:basedOn w:val="a"/>
    <w:uiPriority w:val="99"/>
    <w:semiHidden/>
    <w:rsid w:val="00707920"/>
    <w:pPr>
      <w:bidi w:val="0"/>
      <w:spacing w:before="100" w:beforeAutospacing="1" w:after="100" w:afterAutospacing="1"/>
    </w:pPr>
    <w:rPr>
      <w:rFonts w:cs="Times New Roman"/>
      <w:noProof w:val="0"/>
    </w:rPr>
  </w:style>
  <w:style w:type="paragraph" w:styleId="NormalWeb">
    <w:name w:val="Normal (Web)"/>
    <w:basedOn w:val="a"/>
    <w:uiPriority w:val="99"/>
    <w:semiHidden/>
    <w:unhideWhenUsed/>
    <w:rsid w:val="00707920"/>
    <w:pPr>
      <w:bidi w:val="0"/>
      <w:spacing w:before="100" w:beforeAutospacing="1" w:after="100" w:afterAutospacing="1"/>
    </w:pPr>
    <w:rPr>
      <w:rFonts w:cs="Times New Roman"/>
      <w:noProof w:val="0"/>
    </w:rPr>
  </w:style>
  <w:style w:type="paragraph" w:styleId="TOC1">
    <w:name w:val="toc 1"/>
    <w:basedOn w:val="a"/>
    <w:next w:val="a"/>
    <w:autoRedefine/>
    <w:uiPriority w:val="39"/>
    <w:unhideWhenUsed/>
    <w:rsid w:val="00707920"/>
    <w:pPr>
      <w:spacing w:after="100"/>
    </w:pPr>
  </w:style>
  <w:style w:type="paragraph" w:styleId="TOC2">
    <w:name w:val="toc 2"/>
    <w:basedOn w:val="a"/>
    <w:next w:val="a"/>
    <w:autoRedefine/>
    <w:uiPriority w:val="39"/>
    <w:unhideWhenUsed/>
    <w:rsid w:val="00707920"/>
    <w:pPr>
      <w:tabs>
        <w:tab w:val="right" w:leader="dot" w:pos="10457"/>
      </w:tabs>
      <w:spacing w:after="100" w:line="256" w:lineRule="auto"/>
      <w:ind w:left="221"/>
    </w:pPr>
    <w:rPr>
      <w:rFonts w:asciiTheme="minorHAnsi" w:eastAsiaTheme="minorHAnsi" w:hAnsiTheme="minorHAnsi" w:cstheme="minorBidi"/>
      <w:noProof w:val="0"/>
      <w:sz w:val="22"/>
      <w:szCs w:val="22"/>
    </w:rPr>
  </w:style>
  <w:style w:type="paragraph" w:styleId="TOC3">
    <w:name w:val="toc 3"/>
    <w:basedOn w:val="a"/>
    <w:next w:val="a"/>
    <w:autoRedefine/>
    <w:uiPriority w:val="39"/>
    <w:unhideWhenUsed/>
    <w:rsid w:val="00707920"/>
    <w:pPr>
      <w:tabs>
        <w:tab w:val="right" w:leader="dot" w:pos="10457"/>
      </w:tabs>
      <w:spacing w:after="100" w:line="256" w:lineRule="auto"/>
      <w:ind w:left="442"/>
    </w:pPr>
    <w:rPr>
      <w:rFonts w:asciiTheme="minorHAnsi" w:eastAsiaTheme="minorHAnsi" w:hAnsiTheme="minorHAnsi" w:cstheme="minorBidi"/>
      <w:noProof w:val="0"/>
      <w:sz w:val="22"/>
      <w:szCs w:val="22"/>
    </w:rPr>
  </w:style>
  <w:style w:type="character" w:customStyle="1" w:styleId="af0">
    <w:name w:val="טקסט הערה תו"/>
    <w:basedOn w:val="a0"/>
    <w:uiPriority w:val="99"/>
    <w:semiHidden/>
    <w:rsid w:val="00707920"/>
    <w:rPr>
      <w:sz w:val="24"/>
      <w:szCs w:val="24"/>
    </w:rPr>
  </w:style>
  <w:style w:type="character" w:customStyle="1" w:styleId="a4">
    <w:name w:val="כותרת עליונה תו"/>
    <w:basedOn w:val="a0"/>
    <w:link w:val="a3"/>
    <w:uiPriority w:val="99"/>
    <w:rsid w:val="00707920"/>
    <w:rPr>
      <w:rFonts w:cs="David"/>
      <w:noProof/>
      <w:sz w:val="24"/>
      <w:szCs w:val="24"/>
    </w:rPr>
  </w:style>
  <w:style w:type="character" w:customStyle="1" w:styleId="a6">
    <w:name w:val="כותרת תחתונה תו"/>
    <w:basedOn w:val="a0"/>
    <w:link w:val="a5"/>
    <w:uiPriority w:val="99"/>
    <w:rsid w:val="00707920"/>
    <w:rPr>
      <w:rFonts w:cs="David"/>
      <w:noProof/>
      <w:sz w:val="24"/>
      <w:szCs w:val="24"/>
    </w:rPr>
  </w:style>
  <w:style w:type="paragraph" w:styleId="af1">
    <w:name w:val="annotation subject"/>
    <w:basedOn w:val="a8"/>
    <w:next w:val="a8"/>
    <w:link w:val="af2"/>
    <w:uiPriority w:val="99"/>
    <w:semiHidden/>
    <w:unhideWhenUsed/>
    <w:rsid w:val="00707920"/>
    <w:rPr>
      <w:rFonts w:cs="David"/>
      <w:b/>
      <w:bCs/>
      <w:noProof/>
      <w:sz w:val="20"/>
      <w:szCs w:val="20"/>
    </w:rPr>
  </w:style>
  <w:style w:type="character" w:customStyle="1" w:styleId="11">
    <w:name w:val="טקסט הערה תו1"/>
    <w:basedOn w:val="a0"/>
    <w:link w:val="a8"/>
    <w:uiPriority w:val="99"/>
    <w:semiHidden/>
    <w:rsid w:val="00707920"/>
    <w:rPr>
      <w:sz w:val="24"/>
      <w:szCs w:val="24"/>
    </w:rPr>
  </w:style>
  <w:style w:type="character" w:customStyle="1" w:styleId="af2">
    <w:name w:val="נושא הערה תו"/>
    <w:basedOn w:val="11"/>
    <w:link w:val="af1"/>
    <w:uiPriority w:val="99"/>
    <w:semiHidden/>
    <w:rsid w:val="00707920"/>
    <w:rPr>
      <w:rFonts w:cs="David"/>
      <w:b/>
      <w:bCs/>
      <w:noProof/>
      <w:sz w:val="24"/>
      <w:szCs w:val="24"/>
    </w:rPr>
  </w:style>
  <w:style w:type="character" w:customStyle="1" w:styleId="ab">
    <w:name w:val="טקסט בלונים תו"/>
    <w:basedOn w:val="a0"/>
    <w:link w:val="aa"/>
    <w:uiPriority w:val="99"/>
    <w:semiHidden/>
    <w:rsid w:val="00707920"/>
    <w:rPr>
      <w:rFonts w:ascii="Tahoma" w:hAnsi="Tahoma" w:cs="Tahoma"/>
      <w:noProof/>
      <w:sz w:val="16"/>
      <w:szCs w:val="16"/>
    </w:rPr>
  </w:style>
  <w:style w:type="character" w:customStyle="1" w:styleId="af3">
    <w:name w:val="פיסקת רשימה תו"/>
    <w:basedOn w:val="a0"/>
    <w:link w:val="af4"/>
    <w:uiPriority w:val="34"/>
    <w:locked/>
    <w:rsid w:val="00707920"/>
  </w:style>
  <w:style w:type="paragraph" w:styleId="af4">
    <w:name w:val="List Paragraph"/>
    <w:basedOn w:val="a"/>
    <w:link w:val="af3"/>
    <w:uiPriority w:val="34"/>
    <w:qFormat/>
    <w:rsid w:val="00707920"/>
    <w:pPr>
      <w:spacing w:after="160" w:line="254" w:lineRule="auto"/>
      <w:ind w:left="720"/>
      <w:contextualSpacing/>
    </w:pPr>
    <w:rPr>
      <w:rFonts w:cs="Times New Roman"/>
      <w:noProof w:val="0"/>
      <w:sz w:val="20"/>
      <w:szCs w:val="20"/>
    </w:rPr>
  </w:style>
  <w:style w:type="paragraph" w:styleId="af5">
    <w:name w:val="TOC Heading"/>
    <w:basedOn w:val="1"/>
    <w:next w:val="a"/>
    <w:uiPriority w:val="39"/>
    <w:semiHidden/>
    <w:unhideWhenUsed/>
    <w:qFormat/>
    <w:rsid w:val="00707920"/>
    <w:pPr>
      <w:spacing w:line="254" w:lineRule="auto"/>
      <w:outlineLvl w:val="9"/>
    </w:pPr>
    <w:rPr>
      <w:noProof w:val="0"/>
    </w:rPr>
  </w:style>
  <w:style w:type="paragraph" w:customStyle="1" w:styleId="ruller4">
    <w:name w:val="ruller4"/>
    <w:basedOn w:val="a"/>
    <w:uiPriority w:val="99"/>
    <w:semiHidden/>
    <w:rsid w:val="00707920"/>
    <w:pPr>
      <w:overflowPunct w:val="0"/>
      <w:autoSpaceDE w:val="0"/>
      <w:autoSpaceDN w:val="0"/>
      <w:spacing w:line="360" w:lineRule="auto"/>
      <w:jc w:val="both"/>
    </w:pPr>
    <w:rPr>
      <w:rFonts w:ascii="Arial TUR" w:hAnsi="Arial TUR" w:cs="Arial TUR"/>
      <w:noProof w:val="0"/>
      <w:spacing w:val="10"/>
      <w:sz w:val="22"/>
      <w:szCs w:val="22"/>
      <w14:ligatures w14:val="standardContextual"/>
    </w:rPr>
  </w:style>
  <w:style w:type="paragraph" w:customStyle="1" w:styleId="ruller3">
    <w:name w:val="ruller3"/>
    <w:basedOn w:val="a"/>
    <w:uiPriority w:val="99"/>
    <w:semiHidden/>
    <w:rsid w:val="00707920"/>
    <w:pPr>
      <w:bidi w:val="0"/>
      <w:spacing w:before="100" w:beforeAutospacing="1" w:after="100" w:afterAutospacing="1"/>
    </w:pPr>
    <w:rPr>
      <w:rFonts w:cs="Times New Roman"/>
      <w:noProof w:val="0"/>
      <w14:ligatures w14:val="standardContextual"/>
    </w:rPr>
  </w:style>
  <w:style w:type="character" w:customStyle="1" w:styleId="P00">
    <w:name w:val="P00 תו"/>
    <w:link w:val="P000"/>
    <w:semiHidden/>
    <w:locked/>
    <w:rsid w:val="00707920"/>
    <w:rPr>
      <w:noProof/>
      <w:szCs w:val="26"/>
      <w:lang w:eastAsia="he-IL"/>
    </w:rPr>
  </w:style>
  <w:style w:type="paragraph" w:customStyle="1" w:styleId="P000">
    <w:name w:val="P00"/>
    <w:link w:val="P00"/>
    <w:semiHidden/>
    <w:rsid w:val="00707920"/>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ind w:left="2835"/>
      <w:jc w:val="both"/>
    </w:pPr>
    <w:rPr>
      <w:noProof/>
      <w:szCs w:val="26"/>
      <w:lang w:eastAsia="he-IL"/>
    </w:rPr>
  </w:style>
  <w:style w:type="paragraph" w:customStyle="1" w:styleId="header-2">
    <w:name w:val="header-2"/>
    <w:basedOn w:val="P000"/>
    <w:uiPriority w:val="99"/>
    <w:semiHidden/>
    <w:rsid w:val="00707920"/>
    <w:pPr>
      <w:keepNext/>
      <w:keepLines/>
      <w:tabs>
        <w:tab w:val="clear" w:pos="6259"/>
      </w:tabs>
      <w:spacing w:before="240"/>
      <w:jc w:val="center"/>
    </w:pPr>
    <w:rPr>
      <w:szCs w:val="20"/>
    </w:rPr>
  </w:style>
  <w:style w:type="character" w:customStyle="1" w:styleId="default">
    <w:name w:val="default"/>
    <w:rsid w:val="00707920"/>
    <w:rPr>
      <w:rFonts w:ascii="Times New Roman" w:hAnsi="Times New Roman" w:cs="Times New Roman" w:hint="default"/>
      <w:sz w:val="26"/>
      <w:szCs w:val="26"/>
    </w:rPr>
  </w:style>
  <w:style w:type="character" w:customStyle="1" w:styleId="big-number">
    <w:name w:val="big-number"/>
    <w:rsid w:val="00707920"/>
    <w:rPr>
      <w:rFonts w:ascii="Times New Roman" w:hAnsi="Times New Roman" w:cs="Times New Roman" w:hint="default"/>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05108134">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9662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0C5593" w:rsidP="000C5593">
          <w:pPr>
            <w:pStyle w:val="E460D38E05664FF79D4EFF282EF8EC9924"/>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C02590" w:rsidP="00C02590">
          <w:pPr>
            <w:pStyle w:val="D290653DA13E4E738B7E725F79D7332916"/>
          </w:pPr>
          <w:r>
            <w:rPr>
              <w:rFonts w:hint="eastAsia"/>
              <w:sz w:val="20"/>
              <w:szCs w:val="20"/>
              <w:rtl/>
            </w:rPr>
            <w:t>מספר</w:t>
          </w:r>
          <w:r>
            <w:rPr>
              <w:sz w:val="20"/>
              <w:szCs w:val="20"/>
              <w:rtl/>
            </w:rPr>
            <w:t xml:space="preserve"> תיק חיצוני</w:t>
          </w:r>
        </w:p>
      </w:docPartBody>
    </w:docPart>
    <w:docPart>
      <w:docPartPr>
        <w:name w:val="8A9BABB138C04C84861BBC0B34F0CEA4"/>
        <w:category>
          <w:name w:val="כללי"/>
          <w:gallery w:val="placeholder"/>
        </w:category>
        <w:types>
          <w:type w:val="bbPlcHdr"/>
        </w:types>
        <w:behaviors>
          <w:behavior w:val="content"/>
        </w:behaviors>
        <w:guid w:val="{AF8C6507-FD39-4CBD-8F9D-B4BFE2C13422}"/>
      </w:docPartPr>
      <w:docPartBody>
        <w:p w:rsidR="008D4F74" w:rsidRDefault="00C02590" w:rsidP="00C02590">
          <w:pPr>
            <w:pStyle w:val="8A9BABB138C04C84861BBC0B34F0CEA42"/>
          </w:pPr>
          <w:r w:rsidRPr="00EF44B7">
            <w:rPr>
              <w:rFonts w:ascii="Arial" w:hAnsi="Arial" w:hint="eastAsia"/>
              <w:b/>
              <w:bCs/>
              <w:noProof w:val="0"/>
              <w:sz w:val="26"/>
              <w:szCs w:val="26"/>
              <w:rtl/>
            </w:rPr>
            <w:t>סוג</w:t>
          </w:r>
          <w:r w:rsidRPr="00EF44B7">
            <w:rPr>
              <w:rFonts w:ascii="Arial" w:hAnsi="Arial"/>
              <w:b/>
              <w:bCs/>
              <w:noProof w:val="0"/>
              <w:sz w:val="26"/>
              <w:szCs w:val="26"/>
              <w:rtl/>
            </w:rPr>
            <w:t xml:space="preserve"> זיהוי צד ב'</w:t>
          </w:r>
        </w:p>
      </w:docPartBody>
    </w:docPart>
    <w:docPart>
      <w:docPartPr>
        <w:name w:val="2CE4BB4EA417464B9522B31A0F0D6FC8"/>
        <w:category>
          <w:name w:val="כללי"/>
          <w:gallery w:val="placeholder"/>
        </w:category>
        <w:types>
          <w:type w:val="bbPlcHdr"/>
        </w:types>
        <w:behaviors>
          <w:behavior w:val="content"/>
        </w:behaviors>
        <w:guid w:val="{ACBEE660-9348-4AB8-9137-4C1B5DC68C5D}"/>
      </w:docPartPr>
      <w:docPartBody>
        <w:p w:rsidR="008D4F74" w:rsidRDefault="000C5593" w:rsidP="000C5593">
          <w:pPr>
            <w:pStyle w:val="2CE4BB4EA417464B9522B31A0F0D6FC83"/>
          </w:pPr>
          <w:r w:rsidRPr="00EF44B7">
            <w:rPr>
              <w:rFonts w:ascii="Arial" w:hAnsi="Arial" w:hint="eastAsia"/>
              <w:b/>
              <w:bCs/>
              <w:noProof w:val="0"/>
              <w:sz w:val="26"/>
              <w:szCs w:val="26"/>
              <w:highlight w:val="yellow"/>
              <w:rtl/>
            </w:rPr>
            <w:t>מספר</w:t>
          </w:r>
          <w:r w:rsidRPr="00EF44B7">
            <w:rPr>
              <w:rFonts w:ascii="Arial" w:hAnsi="Arial"/>
              <w:b/>
              <w:bCs/>
              <w:noProof w:val="0"/>
              <w:sz w:val="26"/>
              <w:szCs w:val="26"/>
              <w:highlight w:val="yellow"/>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0C5593"/>
    <w:rsid w:val="001B35E1"/>
    <w:rsid w:val="00200E84"/>
    <w:rsid w:val="002D02C4"/>
    <w:rsid w:val="00345C9D"/>
    <w:rsid w:val="0048651F"/>
    <w:rsid w:val="005157ED"/>
    <w:rsid w:val="00556D67"/>
    <w:rsid w:val="00793995"/>
    <w:rsid w:val="007C6F98"/>
    <w:rsid w:val="007E254A"/>
    <w:rsid w:val="008B4366"/>
    <w:rsid w:val="008D4F74"/>
    <w:rsid w:val="009133C7"/>
    <w:rsid w:val="009178E4"/>
    <w:rsid w:val="00961B27"/>
    <w:rsid w:val="009D5766"/>
    <w:rsid w:val="009E7F5C"/>
    <w:rsid w:val="00AA7CE3"/>
    <w:rsid w:val="00B50DB2"/>
    <w:rsid w:val="00B91FA3"/>
    <w:rsid w:val="00BA28EB"/>
    <w:rsid w:val="00BE6557"/>
    <w:rsid w:val="00C02590"/>
    <w:rsid w:val="00C96C06"/>
    <w:rsid w:val="00D24521"/>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C5593"/>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1B35E1"/>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1B35E1"/>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1B35E1"/>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1B35E1"/>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1B35E1"/>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1B35E1"/>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1B35E1"/>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1B35E1"/>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1B35E1"/>
    <w:pPr>
      <w:bidi/>
      <w:spacing w:after="0" w:line="240" w:lineRule="auto"/>
    </w:pPr>
    <w:rPr>
      <w:rFonts w:ascii="Times New Roman" w:eastAsia="Times New Roman" w:hAnsi="Times New Roman" w:cs="David"/>
      <w:noProof/>
      <w:sz w:val="24"/>
      <w:szCs w:val="24"/>
    </w:rPr>
  </w:style>
  <w:style w:type="paragraph" w:customStyle="1" w:styleId="A97FD8D11CEA493FB869A797FB33F1CD">
    <w:name w:val="A97FD8D11CEA493FB869A797FB33F1CD"/>
    <w:rsid w:val="009E7F5C"/>
    <w:pPr>
      <w:bidi/>
      <w:spacing w:after="0" w:line="240" w:lineRule="auto"/>
    </w:pPr>
    <w:rPr>
      <w:rFonts w:ascii="Times New Roman" w:eastAsia="Times New Roman" w:hAnsi="Times New Roman" w:cs="David"/>
      <w:noProof/>
      <w:sz w:val="24"/>
      <w:szCs w:val="24"/>
    </w:rPr>
  </w:style>
  <w:style w:type="paragraph" w:customStyle="1" w:styleId="102EE9A76523462AB1E45F463AE1E9AF">
    <w:name w:val="102EE9A76523462AB1E45F463AE1E9AF"/>
    <w:rsid w:val="009E7F5C"/>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E7F5C"/>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E7F5C"/>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E7F5C"/>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E7F5C"/>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E7F5C"/>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E7F5C"/>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E7F5C"/>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E7F5C"/>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E7F5C"/>
    <w:pPr>
      <w:bidi/>
      <w:spacing w:after="0" w:line="240" w:lineRule="auto"/>
    </w:pPr>
    <w:rPr>
      <w:rFonts w:ascii="Times New Roman" w:eastAsia="Times New Roman" w:hAnsi="Times New Roman" w:cs="David"/>
      <w:noProof/>
      <w:sz w:val="24"/>
      <w:szCs w:val="24"/>
    </w:rPr>
  </w:style>
  <w:style w:type="paragraph" w:customStyle="1" w:styleId="8A9BABB138C04C84861BBC0B34F0CEA4">
    <w:name w:val="8A9BABB138C04C84861BBC0B34F0CEA4"/>
    <w:rsid w:val="008D4F74"/>
    <w:pPr>
      <w:bidi/>
      <w:spacing w:after="0" w:line="240" w:lineRule="auto"/>
    </w:pPr>
    <w:rPr>
      <w:rFonts w:ascii="Times New Roman" w:eastAsia="Times New Roman" w:hAnsi="Times New Roman" w:cs="David"/>
      <w:noProof/>
      <w:sz w:val="24"/>
      <w:szCs w:val="24"/>
    </w:rPr>
  </w:style>
  <w:style w:type="paragraph" w:customStyle="1" w:styleId="2CE4BB4EA417464B9522B31A0F0D6FC8">
    <w:name w:val="2CE4BB4EA417464B9522B31A0F0D6FC8"/>
    <w:rsid w:val="008D4F74"/>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8D4F74"/>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8D4F74"/>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8D4F74"/>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8D4F74"/>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8D4F74"/>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8D4F74"/>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8D4F74"/>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8D4F74"/>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8D4F74"/>
    <w:pPr>
      <w:bidi/>
      <w:spacing w:after="0" w:line="240" w:lineRule="auto"/>
    </w:pPr>
    <w:rPr>
      <w:rFonts w:ascii="Times New Roman" w:eastAsia="Times New Roman" w:hAnsi="Times New Roman" w:cs="David"/>
      <w:noProof/>
      <w:sz w:val="24"/>
      <w:szCs w:val="24"/>
    </w:rPr>
  </w:style>
  <w:style w:type="paragraph" w:customStyle="1" w:styleId="8A9BABB138C04C84861BBC0B34F0CEA41">
    <w:name w:val="8A9BABB138C04C84861BBC0B34F0CEA41"/>
    <w:rsid w:val="00200E84"/>
    <w:pPr>
      <w:bidi/>
      <w:spacing w:after="0" w:line="240" w:lineRule="auto"/>
    </w:pPr>
    <w:rPr>
      <w:rFonts w:ascii="Times New Roman" w:eastAsia="Times New Roman" w:hAnsi="Times New Roman" w:cs="David"/>
      <w:noProof/>
      <w:sz w:val="24"/>
      <w:szCs w:val="24"/>
    </w:rPr>
  </w:style>
  <w:style w:type="paragraph" w:customStyle="1" w:styleId="2CE4BB4EA417464B9522B31A0F0D6FC81">
    <w:name w:val="2CE4BB4EA417464B9522B31A0F0D6FC81"/>
    <w:rsid w:val="00200E84"/>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200E84"/>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200E84"/>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200E84"/>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200E84"/>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200E84"/>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200E84"/>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200E84"/>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200E84"/>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200E84"/>
    <w:pPr>
      <w:bidi/>
      <w:spacing w:after="0" w:line="240" w:lineRule="auto"/>
    </w:pPr>
    <w:rPr>
      <w:rFonts w:ascii="Times New Roman" w:eastAsia="Times New Roman" w:hAnsi="Times New Roman" w:cs="David"/>
      <w:noProof/>
      <w:sz w:val="24"/>
      <w:szCs w:val="24"/>
    </w:rPr>
  </w:style>
  <w:style w:type="paragraph" w:customStyle="1" w:styleId="8A9BABB138C04C84861BBC0B34F0CEA42">
    <w:name w:val="8A9BABB138C04C84861BBC0B34F0CEA42"/>
    <w:rsid w:val="00C02590"/>
    <w:pPr>
      <w:bidi/>
      <w:spacing w:after="0" w:line="240" w:lineRule="auto"/>
    </w:pPr>
    <w:rPr>
      <w:rFonts w:ascii="Times New Roman" w:eastAsia="Times New Roman" w:hAnsi="Times New Roman" w:cs="David"/>
      <w:noProof/>
      <w:sz w:val="24"/>
      <w:szCs w:val="24"/>
    </w:rPr>
  </w:style>
  <w:style w:type="paragraph" w:customStyle="1" w:styleId="2CE4BB4EA417464B9522B31A0F0D6FC82">
    <w:name w:val="2CE4BB4EA417464B9522B31A0F0D6FC82"/>
    <w:rsid w:val="00C02590"/>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C02590"/>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C02590"/>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C02590"/>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C02590"/>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C02590"/>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C02590"/>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C02590"/>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C02590"/>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C02590"/>
    <w:pPr>
      <w:bidi/>
      <w:spacing w:after="0" w:line="240" w:lineRule="auto"/>
    </w:pPr>
    <w:rPr>
      <w:rFonts w:ascii="Times New Roman" w:eastAsia="Times New Roman" w:hAnsi="Times New Roman" w:cs="David"/>
      <w:noProof/>
      <w:sz w:val="24"/>
      <w:szCs w:val="24"/>
    </w:rPr>
  </w:style>
  <w:style w:type="paragraph" w:customStyle="1" w:styleId="2CE4BB4EA417464B9522B31A0F0D6FC83">
    <w:name w:val="2CE4BB4EA417464B9522B31A0F0D6FC83"/>
    <w:rsid w:val="000C559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C5593"/>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79952492</CaseID>
    <CaseJudicialPersonPresentationDS>
      <CaseJudicalPersonActive>
        <CaseID>79952492</CaseID>
        <JudicialPersonID>059649806@GOV.IL</JudicialPersonID>
        <JudicialPersonTypeID>1</JudicialPersonTypeID>
        <JudicialTypeID>1</JudicialTypeID>
        <IsChairman>false</IsChairman>
        <TreatmentStartDate>2023-04-03T15:17:48.653+03:00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בן ציון ענקי</FullName>
        <FirstName>בן ציון</FirstName>
        <LastName>ענקי</LastName>
        <PartyPropertyName/>
        <AuthenticationTypeAndNumber>מ.ר. 67552</AuthenticationTypeAndNumber>
        <RepresentatedOrRepresentativesNames>יונה חדד</RepresentatedOrRepresentativesNames>
        <RepresentatedOrRepresentativesCount>1</RepresentatedOrRepresentativesCount>
        <InvitedBy/>
        <CaseID>79952492</CaseID>
        <CaseJudicialPersonPresentationDS>
          <CaseJudicalPersonActive>
            <CaseID>79952492</CaseID>
            <JudicialPersonID>059649806@GOV.IL</JudicialPersonID>
            <JudicialPersonTypeID>1</JudicialPersonTypeID>
            <JudicialTypeID>1</JudicialTypeID>
            <IsChairman>false</IsChairman>
            <TreatmentStartDate>2023-04-03T15:17:48.653+03:00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258150406</CasePartyID>
        <PartyTypeID>2</PartyTypeID>
        <ActivityStatusID>1</ActivityStatusID>
        <PartyAliasID>22</PartyAliasID>
        <PartyAliasName>בא כוח מבקשים</PartyAliasName>
        <LegalEntityID>73436512</LegalEntityID>
        <CaseLegalEntityID>125105509</CaseLegalEntityID>
        <AuthenticationTypeID>4</AuthenticationTypeID>
        <AuthenticationTypeName>מ.ר.</AuthenticationTypeName>
        <LegalEntityNumber>67552</LegalEntityNumber>
        <IsMainPartyType>true</IsMainPartyType>
        <CaseDisplayIdentifier>66330-01-23</CaseDisplayIdentifier>
        <CaseTypeID>10295</CaseTypeID>
        <CaseTypeName>חדלות פירעון (חדל"פ)</CaseTypeName>
        <CaseName>במני חדד נ' חדד ואח'</CaseName>
        <FullAddress>הבילויים 7 גדרה </FullAddress>
        <EmailAddress>bza.lawoffice@gmail.com</EmailAddress>
        <MotionID>0</MotionID>
        <CasePleaID>0</CasePleaID>
        <LinkedCaseID>0</LinkedCaseID>
        <PartyID>2</PartyID>
        <CasePartyCategoryID>2</CasePartyCategoryID>
        <LegalEntityAddressID>75803020</LegalEntityAddressID>
        <LegalEntityEmailAddressID>67860457</LegalEntityEmailAddressID>
        <PleaTypeID>5</PleaTypeID>
        <LawyerOfficeName>משרד עו"ד בן ציון ענקי</LawyerOfficeName>
        <LawyerOfficeID>73436513</LawyerOfficeID>
        <GroupPartyAlias/>
        <IsConverted>false</IsConverted>
        <LegalEntityNameID>78162614</LegalEntityNameID>
        <RepresentatedNamesOfAssistant/>
        <LegalEntityTypeID>4</LegalEntityTypeID>
        <IsVerdictExists>false</IsVerdictExists>
        <IsAsirAzir>false</IsAsirAzir>
        <IsPublicationProhibited>false</IsPublicationProhibited>
        <PublicationProhibitedFullName>בן ציון ענקי</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אורי בראון</FullName>
        <FirstName>אורי</FirstName>
        <LastName>בראון</LastName>
        <PartyPropertyName/>
        <AuthenticationTypeAndNumber>מ.ר. 43030</AuthenticationTypeAndNumber>
        <RepresentatedOrRepresentativesNames>עו"ד אורי בראון</RepresentatedOrRepresentativesNames>
        <RepresentatedOrRepresentativesCount>1</RepresentatedOrRepresentativesCount>
        <InvitedBy/>
        <CaseID>79952492</CaseID>
        <CaseJudicialPersonPresentationDS>
          <CaseJudicalPersonActive>
            <CaseID>79952492</CaseID>
            <JudicialPersonID>059649806@GOV.IL</JudicialPersonID>
            <JudicialPersonTypeID>1</JudicialPersonTypeID>
            <JudicialTypeID>1</JudicialTypeID>
            <IsChairman>false</IsChairman>
            <TreatmentStartDate>2023-04-03T15:17:48.653+03:00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255084526</CasePartyID>
        <PartyTypeID>2</PartyTypeID>
        <ActivityStatusID>1</ActivityStatusID>
        <PartyAliasID>22</PartyAliasID>
        <PartyAliasName>בא כוח מבקשים</PartyAliasName>
        <LegalEntityID>15885333</LegalEntityID>
        <CaseLegalEntityID>124165358</CaseLegalEntityID>
        <AuthenticationTypeID>4</AuthenticationTypeID>
        <AuthenticationTypeName>מ.ר.</AuthenticationTypeName>
        <LegalEntityNumber>43030</LegalEntityNumber>
        <IsMainPartyType>true</IsMainPartyType>
        <CaseDisplayIdentifier>66330-01-23</CaseDisplayIdentifier>
        <CaseTypeID>10295</CaseTypeID>
        <CaseTypeName>חדלות פירעון (חדל"פ)</CaseTypeName>
        <CaseName>במני חדד נ' חדד ואח'</CaseName>
        <FullAddress>מנחם בגין 11 רמת גן </FullAddress>
        <EmailAddress>bta.office.law@gmail.com</EmailAddress>
        <MotionID>0</MotionID>
        <CasePleaID>0</CasePleaID>
        <LinkedCaseID>0</LinkedCaseID>
        <PartyID>2</PartyID>
        <CasePartyCategoryID>2</CasePartyCategoryID>
        <LegalEntityAddressID>84651454</LegalEntityAddressID>
        <LegalEntityEmailAddressID>68054941</LegalEntityEmailAddressID>
        <PleaTypeID>5</PleaTypeID>
        <LawyerOfficeName>משרד עו"ד אורי בראון</LawyerOfficeName>
        <LawyerOfficeID>15885334</LawyerOfficeID>
        <GroupPartyAlias/>
        <IsConverted>false</IsConverted>
        <LegalEntityNameID>17532435</LegalEntityNameID>
        <RepresentatedNamesOfAssistant/>
        <LegalEntityTypeID>4</LegalEntityTypeID>
        <IsVerdictExists>false</IsVerdictExists>
        <IsAsirAzir>false</IsAsirAzir>
        <IsPublicationProhibited>false</IsPublicationProhibited>
        <PublicationProhibitedFullName>אורי בראון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דוד מזור</FullName>
        <FirstName>דוד</FirstName>
        <LastName>מזור</LastName>
        <PartyPropertyName/>
        <AuthenticationTypeAndNumber>מ.ר. 30537</AuthenticationTypeAndNumber>
        <RepresentatedOrRepresentativesNames>מלי במני חדד</RepresentatedOrRepresentativesNames>
        <RepresentatedOrRepresentativesCount>1</RepresentatedOrRepresentativesCount>
        <InvitedBy/>
        <CaseID>79952492</CaseID>
        <CaseJudicialPersonPresentationDS>
          <CaseJudicalPersonActive>
            <CaseID>79952492</CaseID>
            <JudicialPersonID>059649806@GOV.IL</JudicialPersonID>
            <JudicialPersonTypeID>1</JudicialPersonTypeID>
            <JudicialTypeID>1</JudicialTypeID>
            <IsChairman>false</IsChairman>
            <TreatmentStartDate>2023-04-03T15:17:48.653+03:00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251142251</CasePartyID>
        <PartyTypeID>2</PartyTypeID>
        <ActivityStatusID>1</ActivityStatusID>
        <PartyAliasID>22</PartyAliasID>
        <PartyAliasName>בא כוח מבקשים</PartyAliasName>
        <OrdinalNumber>1</OrdinalNumber>
        <LegalEntityID>388732</LegalEntityID>
        <CaseLegalEntityID>122943585</CaseLegalEntityID>
        <AuthenticationTypeID>4</AuthenticationTypeID>
        <AuthenticationTypeName>מ.ר.</AuthenticationTypeName>
        <LegalEntityNumber>30537</LegalEntityNumber>
        <IsMainPartyType>true</IsMainPartyType>
        <CaseDisplayIdentifier>66330-01-23</CaseDisplayIdentifier>
        <CaseTypeID>10295</CaseTypeID>
        <CaseTypeName>חדלות פירעון (חדל"פ)</CaseTypeName>
        <CaseName>במני חדד נ' חדד ואח'</CaseName>
        <FullAddress>המלאכה 23 א ראש העין ת.ד 11428</FullAddress>
        <EmailAddress>MAZORDAVE@GMAIL.COM</EmailAddress>
        <MotionID>0</MotionID>
        <CasePleaID>0</CasePleaID>
        <LinkedCaseID>0</LinkedCaseID>
        <PartyID>1</PartyID>
        <CasePartyCategoryID>2</CasePartyCategoryID>
        <LegalEntityAddressID>86228614</LegalEntityAddressID>
        <LegalEntityEmailAddressID>68169092</LegalEntityEmailAddressID>
        <PleaTypeID>5</PleaTypeID>
        <LawyerOfficeName>משרד עו"ד: דוד מזור</LawyerOfficeName>
        <LawyerOfficeID>429376</LawyerOfficeID>
        <GroupPartyAlias/>
        <IsConverted>false</IsConverted>
        <LegalEntityNameID>9716</LegalEntityNameID>
        <RepresentatedNamesOfAssistant/>
        <LegalEntityTypeID>4</LegalEntityTypeID>
        <IsVerdictExists>false</IsVerdictExists>
        <IsAsirAzir>false</IsAsirAzir>
        <IsPublicationProhibited>false</IsPublicationProhibited>
        <PublicationProhibitedFullName>דוד מזור</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מלי במני חדד</FullName>
        <FirstName>מלי</FirstName>
        <LastName>במני</LastName>
        <PartyPropertyName/>
        <AuthenticationTypeAndNumber>ת"ז 052917978</AuthenticationTypeAndNumber>
        <RepresentatedOrRepresentativesNames>דוד מזור</RepresentatedOrRepresentativesNames>
        <RepresentatedOrRepresentativesCount>1</RepresentatedOrRepresentativesCount>
        <InvitedBy/>
        <CaseID>79952492</CaseID>
        <CaseJudicialPersonPresentationDS>
          <CaseJudicalPersonActive>
            <CaseID>79952492</CaseID>
            <JudicialPersonID>059649806@GOV.IL</JudicialPersonID>
            <JudicialPersonTypeID>1</JudicialPersonTypeID>
            <JudicialTypeID>1</JudicialTypeID>
            <IsChairman>false</IsChairman>
            <TreatmentStartDate>2023-04-03T15:17:48.653+03:00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251142250</CasePartyID>
        <PartyTypeID>1</PartyTypeID>
        <ActivityStatusID>1</ActivityStatusID>
        <PartyAliasID>3</PartyAliasID>
        <PartyAliasName>מבקש</PartyAliasName>
        <OrdinalNumber>1</OrdinalNumber>
        <LegalEntityID>73298499</LegalEntityID>
        <CaseLegalEntityID>122943584</CaseLegalEntityID>
        <AuthenticationTypeID>1</AuthenticationTypeID>
        <AuthenticationTypeName>ת"ז</AuthenticationTypeName>
        <LegalEntityNumber>052917978</LegalEntityNumber>
        <IsMainPartyType>true</IsMainPartyType>
        <CaseDisplayIdentifier>66330-01-23</CaseDisplayIdentifier>
        <CaseTypeID>10295</CaseTypeID>
        <CaseTypeName>חדלות פירעון (חדל"פ)</CaseTypeName>
        <CaseName>במני חדד נ' חדד ואח'</CaseName>
        <FullAddress>השקד 18 תל מונד מגורים</FullAddress>
        <MotionID>0</MotionID>
        <CasePleaID>0</CasePleaID>
        <FatherName>מורזה</FatherName>
        <LinkedCaseID>0</LinkedCaseID>
        <PartyID>1</PartyID>
        <CasePartyCategoryID>2</CasePartyCategoryID>
        <LegalEntityAddressID>87482448</LegalEntityAddressID>
        <GrandfatherName/>
        <DrivingLicenseNumber>642296</DrivingLicenseNumber>
        <PleaTypeID>5</PleaTypeID>
        <GroupPartyAlias>מבקשים</GroupPartyAlias>
        <IsConverted>false</IsConverted>
        <LegalEntityRegisteredNameID>4242891</LegalEntityRegisteredNameID>
        <LegalEntityNameID>94325332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מלי במני חדד</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קארין חיים</FullName>
        <FirstName>קארין</FirstName>
        <LastName>חיים</LastName>
        <PartyPropertyName/>
        <AuthenticationTypeAndNumber>מ.ר. 89002</AuthenticationTypeAndNumber>
        <RepresentatedOrRepresentativesNames>זכריה חדד</RepresentatedOrRepresentativesNames>
        <RepresentatedOrRepresentativesCount>1</RepresentatedOrRepresentativesCount>
        <InvitedBy/>
        <CaseID>79952492</CaseID>
        <CaseJudicialPersonPresentationDS>
          <CaseJudicalPersonActive>
            <CaseID>79952492</CaseID>
            <JudicialPersonID>059649806@GOV.IL</JudicialPersonID>
            <JudicialPersonTypeID>1</JudicialPersonTypeID>
            <JudicialTypeID>1</JudicialTypeID>
            <IsChairman>false</IsChairman>
            <TreatmentStartDate>2023-04-03T15:17:48.653+03:00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258373625</CasePartyID>
        <PartyTypeID>2</PartyTypeID>
        <ActivityStatusID>1</ActivityStatusID>
        <PartyAliasID>23</PartyAliasID>
        <PartyAliasName>בא כוח משיבים</PartyAliasName>
        <OrdinalNumber>1</OrdinalNumber>
        <LegalEntityID>79518588</LegalEntityID>
        <CaseLegalEntityID>125174189</CaseLegalEntityID>
        <AuthenticationTypeID>4</AuthenticationTypeID>
        <AuthenticationTypeName>מ.ר.</AuthenticationTypeName>
        <LegalEntityNumber>89002</LegalEntityNumber>
        <IsMainPartyType>true</IsMainPartyType>
        <CaseDisplayIdentifier>66330-01-23</CaseDisplayIdentifier>
        <CaseTypeID>10295</CaseTypeID>
        <CaseTypeName>חדלות פירעון (חדל"פ)</CaseTypeName>
        <CaseName>במני חדד נ' חדד ואח'</CaseName>
        <FullAddress>הרב גמליאל יוסף 1 גדרה </FullAddress>
        <EmailAddress>karinhaimlaw@gmail.com</EmailAddress>
        <MotionID>0</MotionID>
        <CasePleaID>0</CasePleaID>
        <LinkedCaseID>0</LinkedCaseID>
        <PartyID>2</PartyID>
        <CasePartyCategoryID>2</CasePartyCategoryID>
        <LegalEntityAddressID>87245197</LegalEntityAddressID>
        <LegalEntityEmailAddressID>68221978</LegalEntityEmailAddressID>
        <PleaTypeID>5</PleaTypeID>
        <LawyerOfficeName>משרד עו"ד קארין חיים</LawyerOfficeName>
        <LawyerOfficeID>79518589</LawyerOfficeID>
        <GroupPartyAlias/>
        <IsConverted>false</IsConverted>
        <LegalEntityNameID>90850099</LegalEntityNameID>
        <RepresentatedNamesOfAssistant/>
        <LegalEntityTypeID>4</LegalEntityTypeID>
        <IsVerdictExists>false</IsVerdictExists>
        <IsAsirAzir>false</IsAsirAzir>
        <IsPublicationProhibited>false</IsPublicationProhibited>
        <PublicationProhibitedFullName>קארין חיים</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זכריה חדד</FullName>
        <FirstName>זכריה</FirstName>
        <LastName>חדד</LastName>
        <PartyPropertyName/>
        <AuthenticationTypeAndNumber>ת"ז 052122223</AuthenticationTypeAndNumber>
        <RepresentatedOrRepresentativesNames>קארין חיים</RepresentatedOrRepresentativesNames>
        <RepresentatedOrRepresentativesCount>1</RepresentatedOrRepresentativesCount>
        <InvitedBy/>
        <CaseID>79952492</CaseID>
        <CaseJudicialPersonPresentationDS>
          <CaseJudicalPersonActive>
            <CaseID>79952492</CaseID>
            <JudicialPersonID>059649806@GOV.IL</JudicialPersonID>
            <JudicialPersonTypeID>1</JudicialPersonTypeID>
            <JudicialTypeID>1</JudicialTypeID>
            <IsChairman>false</IsChairman>
            <TreatmentStartDate>2023-04-03T15:17:48.653+03:00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251142253</CasePartyID>
        <PartyTypeID>1</PartyTypeID>
        <ActivityStatusID>1</ActivityStatusID>
        <PartyAliasID>4</PartyAliasID>
        <PartyAliasName>משיב</PartyAliasName>
        <OrdinalNumber>1</OrdinalNumber>
        <LegalEntityID>7609237</LegalEntityID>
        <CaseLegalEntityID>122943587</CaseLegalEntityID>
        <AuthenticationTypeID>1</AuthenticationTypeID>
        <AuthenticationTypeName>ת"ז</AuthenticationTypeName>
        <LegalEntityNumber>052122223</LegalEntityNumber>
        <IsMainPartyType>true</IsMainPartyType>
        <CaseDisplayIdentifier>66330-01-23</CaseDisplayIdentifier>
        <CaseTypeID>10295</CaseTypeID>
        <CaseTypeName>חדלות פירעון (חדל"פ)</CaseTypeName>
        <CaseName>במני חדד נ' חדד ואח'</CaseName>
        <FullAddress>משק 64 בני ראם משק 64 במושב בני ראם</FullAddress>
        <MotionID>0</MotionID>
        <CasePleaID>0</CasePleaID>
        <FatherName>חיים</FatherName>
        <LinkedCaseID>0</LinkedCaseID>
        <PartyID>2</PartyID>
        <CasePartyCategoryID>2</CasePartyCategoryID>
        <LegalEntityAddressID>87482449</LegalEntityAddressID>
        <PleaTypeID>5</PleaTypeID>
        <GroupPartyAlias>משיבים</GroupPartyAlias>
        <IsConverted>false</IsConverted>
        <LegalEntityNameID>94325333</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זכריה חדד</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ממונה על חדלות פירעון – מחוז תל אביב</FullName>
        <LastName>ממונה על חדלות פירעון – מחוז תל אביב</LastName>
        <PartyPropertyName/>
        <AuthenticationTypeAndNumber>משרדי ממשלה 570001772</AuthenticationTypeAndNumber>
        <RepresentatedOrRepresentativesNames/>
        <RepresentatedOrRepresentativesCount>0</RepresentatedOrRepresentativesCount>
        <InvitedBy/>
        <CaseID>79952492</CaseID>
        <CaseJudicialPersonPresentationDS>
          <CaseJudicalPersonActive>
            <CaseID>79952492</CaseID>
            <JudicialPersonID>059649806@GOV.IL</JudicialPersonID>
            <JudicialPersonTypeID>1</JudicialPersonTypeID>
            <JudicialTypeID>1</JudicialTypeID>
            <IsChairman>false</IsChairman>
            <TreatmentStartDate>2023-04-03T15:17:48.653+03:00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251142252</CasePartyID>
        <PartyTypeID>1</PartyTypeID>
        <ActivityStatusID>1</ActivityStatusID>
        <PartyAliasID>4</PartyAliasID>
        <PartyAliasName>משיב</PartyAliasName>
        <OrdinalNumber>2</OrdinalNumber>
        <LegalEntityID>77716800</LegalEntityID>
        <CaseLegalEntityID>122943586</CaseLegalEntityID>
        <AuthenticationTypeID>13</AuthenticationTypeID>
        <AuthenticationTypeName>משרדי ממשלה</AuthenticationTypeName>
        <LegalEntityNumber>570001772</LegalEntityNumber>
        <IsMainPartyType>true</IsMainPartyType>
        <CaseDisplayIdentifier>66330-01-23</CaseDisplayIdentifier>
        <CaseTypeID>10295</CaseTypeID>
        <CaseTypeName>חדלות פירעון (חדל"פ)</CaseTypeName>
        <CaseName>במני חדד נ' חדד ואח'</CaseName>
        <FullAddress>השלושה 2 כניסה ב תל אביב -יפו ת.ד 9040</FullAddress>
        <EmailAddress>diyon-tv@justice.gov.il</EmailAddress>
        <MotionID>0</MotionID>
        <CasePleaID>0</CasePleaID>
        <LinkedCaseID>0</LinkedCaseID>
        <PartyID>2</PartyID>
        <CasePartyCategoryID>2</CasePartyCategoryID>
        <LegalEntityAddressID>82016569</LegalEntityAddressID>
        <LegalEntityEmailAddressID>68003157</LegalEntityEmailAddressID>
        <PleaTypeID>5</PleaTypeID>
        <GroupPartyAlias>משיבים</GroupPartyAlias>
        <IsConverted>false</IsConverted>
        <LegalEntityRegisteredNameID>8763188</LegalEntityRegisteredNameID>
        <RepresentatedNamesOfAssistant/>
        <LegalEntityTypeID>3</LegalEntityTypeID>
        <IsVerdictExists>false</IsVerdictExists>
        <IsAsirAzir>false</IsAsirAzir>
        <IsPublicationProhibited>false</IsPublicationProhibited>
        <PublicationProhibitedFullName>ממונה על חדלות פירעון – מחוז תל אביב</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עו"ד אורי בראון (נאמן)</FullName>
        <FirstName>עו"ד אורי</FirstName>
        <LastName>בראון</LastName>
        <PartyPropertyID>15</PartyPropertyID>
        <PartyPropertyName/>
        <AuthenticationTypeAndNumber>ת"ז </AuthenticationTypeAndNumber>
        <RepresentatedOrRepresentativesNames>אורי בראון</RepresentatedOrRepresentativesNames>
        <RepresentatedOrRepresentativesCount>1</RepresentatedOrRepresentativesCount>
        <InvitedBy/>
        <CaseID>79952492</CaseID>
        <CaseJudicialPersonPresentationDS>
          <CaseJudicalPersonActive>
            <CaseID>79952492</CaseID>
            <JudicialPersonID>059649806@GOV.IL</JudicialPersonID>
            <JudicialPersonTypeID>1</JudicialPersonTypeID>
            <JudicialTypeID>1</JudicialTypeID>
            <IsChairman>false</IsChairman>
            <TreatmentStartDate>2023-04-03T15:17:48.653+03:00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255189248</CasePartyID>
        <PartyTypeID>1</PartyTypeID>
        <ActivityStatusID>1</ActivityStatusID>
        <PartyAliasID>4</PartyAliasID>
        <PartyAliasName>משיב</PartyAliasName>
        <OrdinalNumber>3</OrdinalNumber>
        <LegalEntityID>81186560</LegalEntityID>
        <CaseLegalEntityID>124165330</CaseLegalEntityID>
        <AuthenticationTypeID>1</AuthenticationTypeID>
        <AuthenticationTypeName>ת"ז</AuthenticationTypeName>
        <IsMainPartyType>true</IsMainPartyType>
        <CaseDisplayIdentifier>66330-01-23</CaseDisplayIdentifier>
        <CaseTypeID>10295</CaseTypeID>
        <CaseTypeName>חדלות פירעון (חדל"פ)</CaseTypeName>
        <CaseName>במני חדד נ' חדד ואח'</CaseName>
        <FullAddress/>
        <MotionID>0</MotionID>
        <CasePleaID>0</CasePleaID>
        <LinkedCaseID>0</LinkedCaseID>
        <PartyID>2</PartyID>
        <CasePartyCategoryID>2</CasePartyCategoryID>
        <PleaTypeID>5</PleaTypeID>
        <GroupPartyAlias>משיבים</GroupPartyAlias>
        <IsConverted>false</IsConverted>
        <LegalEntityNameID>94792232</LegalEntityNameID>
        <RepresentatedNamesOfAssistant/>
        <LegalEntityTypeID>1</LegalEntityTypeID>
        <IsVerdictExists>false</IsVerdictExists>
        <IsAsirAzir>false</IsAsirAzir>
        <IsPublicationProhibited>false</IsPublicationProhibited>
        <PublicationProhibitedFullName>עו"ד אורי בראון (נאמן)</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יונה חדד</FullName>
        <FirstName>יונה</FirstName>
        <LastName>חדד</LastName>
        <PartyPropertyName/>
        <AuthenticationTypeAndNumber>ת"ז </AuthenticationTypeAndNumber>
        <RepresentatedOrRepresentativesNames>בן ציון ענקי</RepresentatedOrRepresentativesNames>
        <RepresentatedOrRepresentativesCount>1</RepresentatedOrRepresentativesCount>
        <InvitedBy/>
        <CaseID>79952492</CaseID>
        <CaseJudicialPersonPresentationDS>
          <CaseJudicalPersonActive>
            <CaseID>79952492</CaseID>
            <JudicialPersonID>059649806@GOV.IL</JudicialPersonID>
            <JudicialPersonTypeID>1</JudicialPersonTypeID>
            <JudicialTypeID>1</JudicialTypeID>
            <IsChairman>false</IsChairman>
            <TreatmentStartDate>2023-04-03T15:17:48.653+03:00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258490444</CasePartyID>
        <PartyTypeID>1</PartyTypeID>
        <ActivityStatusID>1</ActivityStatusID>
        <PartyAliasID>4</PartyAliasID>
        <PartyAliasName>משיב</PartyAliasName>
        <OrdinalNumber>4</OrdinalNumber>
        <LegalEntityID>81330919</LegalEntityID>
        <CaseLegalEntityID>125105494</CaseLegalEntityID>
        <AuthenticationTypeID>1</AuthenticationTypeID>
        <AuthenticationTypeName>ת"ז</AuthenticationTypeName>
        <IsMainPartyType>true</IsMainPartyType>
        <CaseDisplayIdentifier>66330-01-23</CaseDisplayIdentifier>
        <CaseTypeID>10295</CaseTypeID>
        <CaseTypeName>חדלות פירעון (חדל"פ)</CaseTypeName>
        <CaseName>במני חדד נ' חדד ואח'</CaseName>
        <FullAddress/>
        <MotionID>0</MotionID>
        <CasePleaID>0</CasePleaID>
        <LinkedCaseID>0</LinkedCaseID>
        <PartyID>2</PartyID>
        <CasePartyCategoryID>2</CasePartyCategoryID>
        <PleaTypeID>5</PleaTypeID>
        <GroupPartyAlias>משיבים</GroupPartyAlias>
        <IsConverted>false</IsConverted>
        <LegalEntityNameID>95151107</LegalEntityNameID>
        <RepresentatedNamesOfAssistant/>
        <LegalEntityTypeID>1</LegalEntityTypeID>
        <IsVerdictExists>false</IsVerdictExists>
        <IsAsirAzir>false</IsAsirAzir>
        <IsPublicationProhibited>false</IsPublicationProhibited>
        <PublicationProhibitedFullName>יונה חדד</PublicationProhibitedFullName>
      </CaseParties>
    </CasePartiesSelectionDS>
    <DecisionName>החלטה  שניתנה ע"י  אילן בן-דור</DecisionName>
    <CourtDisplayName>בית משפט השלום בראשון לציון</CourtDisplayName>
    <IsCaseJudgePanel>false</IsCaseJudgePanel>
    <DecisionSignatureDate>2024-06-10T07:53:46.9360471+03:00</DecisionSignatureDate>
    <OpenCaseDate>2023-01-26T12:21:00+02:00</OpenCaseDate>
    <CaseFeeSum>0.000</CaseFeeSum>
    <DecisionTypeID>1</DecisionTypeID>
    <DecisionSignatureUserName>אילן בן-דור</DecisionSignatureUserName>
    <DecisionSignatureDateHebrew>2024-06-10T07:53:46.9360471+03:00</DecisionSignatureDateHebrew>
    <DecisionWriterID>059649806@GOV.IL</DecisionWriterID>
    <CourtAddress>רח' ישראל גלילי 5, ראשון לציון 7542604</CourtAddress>
    <IsAutoTextInCaseExist>false</IsAutoTextInCaseExist>
    <DecisionSignatureRoleName>שופט</DecisionSignatureRoleName>
    <DecisionSignatureUserTitleName>שופט</DecisionSignatureUserTitleName>
    <CaseName>במני חדד נ' חדד ואח'</CaseName>
    <DecisionNumberInCase>56</DecisionNumberInCase>
  </dt_Decision>
  <dt_DecisionCase>
    <DecisionID>0</DecisionID>
    <CaseID>79952492</CaseID>
    <CaseJudicialPersonPresentationDS>
      <CaseJudicalPersonActive>
        <CaseID>79952492</CaseID>
        <JudicialPersonID>059649806@GOV.IL</JudicialPersonID>
        <JudicialPersonTypeID>1</JudicialPersonTypeID>
        <JudicialTypeID>1</JudicialTypeID>
        <IsChairman>false</IsChairman>
        <TreatmentStartDate>2023-04-03T15:17:48.653+03:00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בן ציון ענקי</FullName>
        <FirstName>בן ציון</FirstName>
        <LastName>ענקי</LastName>
        <PartyPropertyName/>
        <AuthenticationTypeAndNumber>מ.ר. 67552</AuthenticationTypeAndNumber>
        <RepresentatedOrRepresentativesNames>יונה חדד</RepresentatedOrRepresentativesNames>
        <RepresentatedOrRepresentativesCount>1</RepresentatedOrRepresentativesCount>
        <InvitedBy/>
        <CaseID>79952492</CaseID>
        <CaseJudicialPersonPresentationDS>
          <CaseJudicalPersonActive>
            <CaseID>79952492</CaseID>
            <JudicialPersonID>059649806@GOV.IL</JudicialPersonID>
            <JudicialPersonTypeID>1</JudicialPersonTypeID>
            <JudicialTypeID>1</JudicialTypeID>
            <IsChairman>false</IsChairman>
            <TreatmentStartDate>2023-04-03T15:17:48.653+03:00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258150406</CasePartyID>
        <PartyTypeID>2</PartyTypeID>
        <ActivityStatusID>1</ActivityStatusID>
        <PartyAliasID>22</PartyAliasID>
        <PartyAliasName>בא כוח מבקשים</PartyAliasName>
        <LegalEntityID>73436512</LegalEntityID>
        <CaseLegalEntityID>125105509</CaseLegalEntityID>
        <AuthenticationTypeID>4</AuthenticationTypeID>
        <AuthenticationTypeName>מ.ר.</AuthenticationTypeName>
        <LegalEntityNumber>67552</LegalEntityNumber>
        <IsMainPartyType>true</IsMainPartyType>
        <CaseDisplayIdentifier>66330-01-23</CaseDisplayIdentifier>
        <CaseTypeID>10295</CaseTypeID>
        <CaseTypeName>חדלות פירעון (חדל"פ)</CaseTypeName>
        <CaseName>במני חדד נ' חדד ואח'</CaseName>
        <FullAddress>הבילויים 7 גדרה </FullAddress>
        <EmailAddress>bza.lawoffice@gmail.com</EmailAddress>
        <MotionID>0</MotionID>
        <CasePleaID>0</CasePleaID>
        <LinkedCaseID>0</LinkedCaseID>
        <PartyID>2</PartyID>
        <CasePartyCategoryID>2</CasePartyCategoryID>
        <LegalEntityAddressID>75803020</LegalEntityAddressID>
        <LegalEntityEmailAddressID>67860457</LegalEntityEmailAddressID>
        <PleaTypeID>5</PleaTypeID>
        <LawyerOfficeName>משרד עו"ד בן ציון ענקי</LawyerOfficeName>
        <LawyerOfficeID>73436513</LawyerOfficeID>
        <GroupPartyAlias/>
        <IsConverted>false</IsConverted>
        <LegalEntityNameID>78162614</LegalEntityNameID>
        <RepresentatedNamesOfAssistant/>
        <LegalEntityTypeID>4</LegalEntityTypeID>
        <IsVerdictExists>false</IsVerdictExists>
        <IsAsirAzir>false</IsAsirAzir>
        <IsPublicationProhibited>false</IsPublicationProhibited>
        <PublicationProhibitedFullName>בן ציון ענקי</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אורי בראון</FullName>
        <FirstName>אורי</FirstName>
        <LastName>בראון</LastName>
        <PartyPropertyName/>
        <AuthenticationTypeAndNumber>מ.ר. 43030</AuthenticationTypeAndNumber>
        <RepresentatedOrRepresentativesNames>עו"ד אורי בראון</RepresentatedOrRepresentativesNames>
        <RepresentatedOrRepresentativesCount>1</RepresentatedOrRepresentativesCount>
        <InvitedBy/>
        <CaseID>79952492</CaseID>
        <CaseJudicialPersonPresentationDS>
          <CaseJudicalPersonActive>
            <CaseID>79952492</CaseID>
            <JudicialPersonID>059649806@GOV.IL</JudicialPersonID>
            <JudicialPersonTypeID>1</JudicialPersonTypeID>
            <JudicialTypeID>1</JudicialTypeID>
            <IsChairman>false</IsChairman>
            <TreatmentStartDate>2023-04-03T15:17:48.653+03:00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255084526</CasePartyID>
        <PartyTypeID>2</PartyTypeID>
        <ActivityStatusID>1</ActivityStatusID>
        <PartyAliasID>22</PartyAliasID>
        <PartyAliasName>בא כוח מבקשים</PartyAliasName>
        <LegalEntityID>15885333</LegalEntityID>
        <CaseLegalEntityID>124165358</CaseLegalEntityID>
        <AuthenticationTypeID>4</AuthenticationTypeID>
        <AuthenticationTypeName>מ.ר.</AuthenticationTypeName>
        <LegalEntityNumber>43030</LegalEntityNumber>
        <IsMainPartyType>true</IsMainPartyType>
        <CaseDisplayIdentifier>66330-01-23</CaseDisplayIdentifier>
        <CaseTypeID>10295</CaseTypeID>
        <CaseTypeName>חדלות פירעון (חדל"פ)</CaseTypeName>
        <CaseName>במני חדד נ' חדד ואח'</CaseName>
        <FullAddress>מנחם בגין 11 רמת גן </FullAddress>
        <EmailAddress>bta.office.law@gmail.com</EmailAddress>
        <MotionID>0</MotionID>
        <CasePleaID>0</CasePleaID>
        <LinkedCaseID>0</LinkedCaseID>
        <PartyID>2</PartyID>
        <CasePartyCategoryID>2</CasePartyCategoryID>
        <LegalEntityAddressID>84651454</LegalEntityAddressID>
        <LegalEntityEmailAddressID>68054941</LegalEntityEmailAddressID>
        <PleaTypeID>5</PleaTypeID>
        <LawyerOfficeName>משרד עו"ד אורי בראון</LawyerOfficeName>
        <LawyerOfficeID>15885334</LawyerOfficeID>
        <GroupPartyAlias/>
        <IsConverted>false</IsConverted>
        <LegalEntityNameID>17532435</LegalEntityNameID>
        <RepresentatedNamesOfAssistant/>
        <LegalEntityTypeID>4</LegalEntityTypeID>
        <IsVerdictExists>false</IsVerdictExists>
        <IsAsirAzir>false</IsAsirAzir>
        <IsPublicationProhibited>false</IsPublicationProhibited>
        <PublicationProhibitedFullName>אורי בראון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דוד מזור</FullName>
        <FirstName>דוד</FirstName>
        <LastName>מזור</LastName>
        <PartyPropertyName/>
        <AuthenticationTypeAndNumber>מ.ר. 30537</AuthenticationTypeAndNumber>
        <RepresentatedOrRepresentativesNames>מלי במני חדד</RepresentatedOrRepresentativesNames>
        <RepresentatedOrRepresentativesCount>1</RepresentatedOrRepresentativesCount>
        <InvitedBy/>
        <CaseID>79952492</CaseID>
        <CaseJudicialPersonPresentationDS>
          <CaseJudicalPersonActive>
            <CaseID>79952492</CaseID>
            <JudicialPersonID>059649806@GOV.IL</JudicialPersonID>
            <JudicialPersonTypeID>1</JudicialPersonTypeID>
            <JudicialTypeID>1</JudicialTypeID>
            <IsChairman>false</IsChairman>
            <TreatmentStartDate>2023-04-03T15:17:48.653+03:00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251142251</CasePartyID>
        <PartyTypeID>2</PartyTypeID>
        <ActivityStatusID>1</ActivityStatusID>
        <PartyAliasID>22</PartyAliasID>
        <PartyAliasName>בא כוח מבקשים</PartyAliasName>
        <OrdinalNumber>1</OrdinalNumber>
        <LegalEntityID>388732</LegalEntityID>
        <CaseLegalEntityID>122943585</CaseLegalEntityID>
        <AuthenticationTypeID>4</AuthenticationTypeID>
        <AuthenticationTypeName>מ.ר.</AuthenticationTypeName>
        <LegalEntityNumber>30537</LegalEntityNumber>
        <IsMainPartyType>true</IsMainPartyType>
        <CaseDisplayIdentifier>66330-01-23</CaseDisplayIdentifier>
        <CaseTypeID>10295</CaseTypeID>
        <CaseTypeName>חדלות פירעון (חדל"פ)</CaseTypeName>
        <CaseName>במני חדד נ' חדד ואח'</CaseName>
        <FullAddress>המלאכה 23 א ראש העין ת.ד 11428</FullAddress>
        <EmailAddress>MAZORDAVE@GMAIL.COM</EmailAddress>
        <MotionID>0</MotionID>
        <CasePleaID>0</CasePleaID>
        <LinkedCaseID>0</LinkedCaseID>
        <PartyID>1</PartyID>
        <CasePartyCategoryID>2</CasePartyCategoryID>
        <LegalEntityAddressID>86228614</LegalEntityAddressID>
        <LegalEntityEmailAddressID>68169092</LegalEntityEmailAddressID>
        <PleaTypeID>5</PleaTypeID>
        <LawyerOfficeName>משרד עו"ד: דוד מזור</LawyerOfficeName>
        <LawyerOfficeID>429376</LawyerOfficeID>
        <GroupPartyAlias/>
        <IsConverted>false</IsConverted>
        <LegalEntityNameID>9716</LegalEntityNameID>
        <RepresentatedNamesOfAssistant/>
        <LegalEntityTypeID>4</LegalEntityTypeID>
        <IsVerdictExists>false</IsVerdictExists>
        <IsAsirAzir>false</IsAsirAzir>
        <IsPublicationProhibited>false</IsPublicationProhibited>
        <PublicationProhibitedFullName>דוד מזור</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מלי במני חדד</FullName>
        <FirstName>מלי</FirstName>
        <LastName>במני</LastName>
        <PartyPropertyName/>
        <AuthenticationTypeAndNumber>ת"ז 052917978</AuthenticationTypeAndNumber>
        <RepresentatedOrRepresentativesNames>דוד מזור</RepresentatedOrRepresentativesNames>
        <RepresentatedOrRepresentativesCount>1</RepresentatedOrRepresentativesCount>
        <InvitedBy/>
        <CaseID>79952492</CaseID>
        <CaseJudicialPersonPresentationDS>
          <CaseJudicalPersonActive>
            <CaseID>79952492</CaseID>
            <JudicialPersonID>059649806@GOV.IL</JudicialPersonID>
            <JudicialPersonTypeID>1</JudicialPersonTypeID>
            <JudicialTypeID>1</JudicialTypeID>
            <IsChairman>false</IsChairman>
            <TreatmentStartDate>2023-04-03T15:17:48.653+03:00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251142250</CasePartyID>
        <PartyTypeID>1</PartyTypeID>
        <ActivityStatusID>1</ActivityStatusID>
        <PartyAliasID>3</PartyAliasID>
        <PartyAliasName>מבקש</PartyAliasName>
        <OrdinalNumber>1</OrdinalNumber>
        <LegalEntityID>73298499</LegalEntityID>
        <CaseLegalEntityID>122943584</CaseLegalEntityID>
        <AuthenticationTypeID>1</AuthenticationTypeID>
        <AuthenticationTypeName>ת"ז</AuthenticationTypeName>
        <LegalEntityNumber>052917978</LegalEntityNumber>
        <IsMainPartyType>true</IsMainPartyType>
        <CaseDisplayIdentifier>66330-01-23</CaseDisplayIdentifier>
        <CaseTypeID>10295</CaseTypeID>
        <CaseTypeName>חדלות פירעון (חדל"פ)</CaseTypeName>
        <CaseName>במני חדד נ' חדד ואח'</CaseName>
        <FullAddress>השקד 18 תל מונד מגורים</FullAddress>
        <MotionID>0</MotionID>
        <CasePleaID>0</CasePleaID>
        <FatherName>מורזה</FatherName>
        <LinkedCaseID>0</LinkedCaseID>
        <PartyID>1</PartyID>
        <CasePartyCategoryID>2</CasePartyCategoryID>
        <LegalEntityAddressID>87482448</LegalEntityAddressID>
        <GrandfatherName/>
        <DrivingLicenseNumber>642296</DrivingLicenseNumber>
        <PleaTypeID>5</PleaTypeID>
        <GroupPartyAlias>מבקשים</GroupPartyAlias>
        <IsConverted>false</IsConverted>
        <LegalEntityRegisteredNameID>4242891</LegalEntityRegisteredNameID>
        <LegalEntityNameID>94325332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מלי במני חדד</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קארין חיים</FullName>
        <FirstName>קארין</FirstName>
        <LastName>חיים</LastName>
        <PartyPropertyName/>
        <AuthenticationTypeAndNumber>מ.ר. 89002</AuthenticationTypeAndNumber>
        <RepresentatedOrRepresentativesNames>זכריה חדד</RepresentatedOrRepresentativesNames>
        <RepresentatedOrRepresentativesCount>1</RepresentatedOrRepresentativesCount>
        <InvitedBy/>
        <CaseID>79952492</CaseID>
        <CaseJudicialPersonPresentationDS>
          <CaseJudicalPersonActive>
            <CaseID>79952492</CaseID>
            <JudicialPersonID>059649806@GOV.IL</JudicialPersonID>
            <JudicialPersonTypeID>1</JudicialPersonTypeID>
            <JudicialTypeID>1</JudicialTypeID>
            <IsChairman>false</IsChairman>
            <TreatmentStartDate>2023-04-03T15:17:48.653+03:00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258373625</CasePartyID>
        <PartyTypeID>2</PartyTypeID>
        <ActivityStatusID>1</ActivityStatusID>
        <PartyAliasID>23</PartyAliasID>
        <PartyAliasName>בא כוח משיבים</PartyAliasName>
        <OrdinalNumber>1</OrdinalNumber>
        <LegalEntityID>79518588</LegalEntityID>
        <CaseLegalEntityID>125174189</CaseLegalEntityID>
        <AuthenticationTypeID>4</AuthenticationTypeID>
        <AuthenticationTypeName>מ.ר.</AuthenticationTypeName>
        <LegalEntityNumber>89002</LegalEntityNumber>
        <IsMainPartyType>true</IsMainPartyType>
        <CaseDisplayIdentifier>66330-01-23</CaseDisplayIdentifier>
        <CaseTypeID>10295</CaseTypeID>
        <CaseTypeName>חדלות פירעון (חדל"פ)</CaseTypeName>
        <CaseName>במני חדד נ' חדד ואח'</CaseName>
        <FullAddress>הרב גמליאל יוסף 1 גדרה </FullAddress>
        <EmailAddress>karinhaimlaw@gmail.com</EmailAddress>
        <MotionID>0</MotionID>
        <CasePleaID>0</CasePleaID>
        <LinkedCaseID>0</LinkedCaseID>
        <PartyID>2</PartyID>
        <CasePartyCategoryID>2</CasePartyCategoryID>
        <LegalEntityAddressID>87245197</LegalEntityAddressID>
        <LegalEntityEmailAddressID>68221978</LegalEntityEmailAddressID>
        <PleaTypeID>5</PleaTypeID>
        <LawyerOfficeName>משרד עו"ד קארין חיים</LawyerOfficeName>
        <LawyerOfficeID>79518589</LawyerOfficeID>
        <GroupPartyAlias/>
        <IsConverted>false</IsConverted>
        <LegalEntityNameID>90850099</LegalEntityNameID>
        <RepresentatedNamesOfAssistant/>
        <LegalEntityTypeID>4</LegalEntityTypeID>
        <IsVerdictExists>false</IsVerdictExists>
        <IsAsirAzir>false</IsAsirAzir>
        <IsPublicationProhibited>false</IsPublicationProhibited>
        <PublicationProhibitedFullName>קארין חיים</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זכריה חדד</FullName>
        <FirstName>זכריה</FirstName>
        <LastName>חדד</LastName>
        <PartyPropertyName/>
        <AuthenticationTypeAndNumber>ת"ז 052122223</AuthenticationTypeAndNumber>
        <RepresentatedOrRepresentativesNames>קארין חיים</RepresentatedOrRepresentativesNames>
        <RepresentatedOrRepresentativesCount>1</RepresentatedOrRepresentativesCount>
        <InvitedBy/>
        <CaseID>79952492</CaseID>
        <CaseJudicialPersonPresentationDS>
          <CaseJudicalPersonActive>
            <CaseID>79952492</CaseID>
            <JudicialPersonID>059649806@GOV.IL</JudicialPersonID>
            <JudicialPersonTypeID>1</JudicialPersonTypeID>
            <JudicialTypeID>1</JudicialTypeID>
            <IsChairman>false</IsChairman>
            <TreatmentStartDate>2023-04-03T15:17:48.653+03:00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251142253</CasePartyID>
        <PartyTypeID>1</PartyTypeID>
        <ActivityStatusID>1</ActivityStatusID>
        <PartyAliasID>4</PartyAliasID>
        <PartyAliasName>משיב</PartyAliasName>
        <OrdinalNumber>1</OrdinalNumber>
        <LegalEntityID>7609237</LegalEntityID>
        <CaseLegalEntityID>122943587</CaseLegalEntityID>
        <AuthenticationTypeID>1</AuthenticationTypeID>
        <AuthenticationTypeName>ת"ז</AuthenticationTypeName>
        <LegalEntityNumber>052122223</LegalEntityNumber>
        <IsMainPartyType>true</IsMainPartyType>
        <CaseDisplayIdentifier>66330-01-23</CaseDisplayIdentifier>
        <CaseTypeID>10295</CaseTypeID>
        <CaseTypeName>חדלות פירעון (חדל"פ)</CaseTypeName>
        <CaseName>במני חדד נ' חדד ואח'</CaseName>
        <FullAddress>משק 64 בני ראם משק 64 במושב בני ראם</FullAddress>
        <MotionID>0</MotionID>
        <CasePleaID>0</CasePleaID>
        <FatherName>חיים</FatherName>
        <LinkedCaseID>0</LinkedCaseID>
        <PartyID>2</PartyID>
        <CasePartyCategoryID>2</CasePartyCategoryID>
        <LegalEntityAddressID>87482449</LegalEntityAddressID>
        <PleaTypeID>5</PleaTypeID>
        <GroupPartyAlias>משיבים</GroupPartyAlias>
        <IsConverted>false</IsConverted>
        <LegalEntityNameID>94325333</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זכריה חדד</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ממונה על חדלות פירעון – מחוז תל אביב</FullName>
        <LastName>ממונה על חדלות פירעון – מחוז תל אביב</LastName>
        <PartyPropertyName/>
        <AuthenticationTypeAndNumber>משרדי ממשלה 570001772</AuthenticationTypeAndNumber>
        <RepresentatedOrRepresentativesNames/>
        <RepresentatedOrRepresentativesCount>0</RepresentatedOrRepresentativesCount>
        <InvitedBy/>
        <CaseID>79952492</CaseID>
        <CaseJudicialPersonPresentationDS>
          <CaseJudicalPersonActive>
            <CaseID>79952492</CaseID>
            <JudicialPersonID>059649806@GOV.IL</JudicialPersonID>
            <JudicialPersonTypeID>1</JudicialPersonTypeID>
            <JudicialTypeID>1</JudicialTypeID>
            <IsChairman>false</IsChairman>
            <TreatmentStartDate>2023-04-03T15:17:48.653+03:00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251142252</CasePartyID>
        <PartyTypeID>1</PartyTypeID>
        <ActivityStatusID>1</ActivityStatusID>
        <PartyAliasID>4</PartyAliasID>
        <PartyAliasName>משיב</PartyAliasName>
        <OrdinalNumber>2</OrdinalNumber>
        <LegalEntityID>77716800</LegalEntityID>
        <CaseLegalEntityID>122943586</CaseLegalEntityID>
        <AuthenticationTypeID>13</AuthenticationTypeID>
        <AuthenticationTypeName>משרדי ממשלה</AuthenticationTypeName>
        <LegalEntityNumber>570001772</LegalEntityNumber>
        <IsMainPartyType>true</IsMainPartyType>
        <CaseDisplayIdentifier>66330-01-23</CaseDisplayIdentifier>
        <CaseTypeID>10295</CaseTypeID>
        <CaseTypeName>חדלות פירעון (חדל"פ)</CaseTypeName>
        <CaseName>במני חדד נ' חדד ואח'</CaseName>
        <FullAddress>השלושה 2 כניסה ב תל אביב -יפו ת.ד 9040</FullAddress>
        <EmailAddress>diyon-tv@justice.gov.il</EmailAddress>
        <MotionID>0</MotionID>
        <CasePleaID>0</CasePleaID>
        <LinkedCaseID>0</LinkedCaseID>
        <PartyID>2</PartyID>
        <CasePartyCategoryID>2</CasePartyCategoryID>
        <LegalEntityAddressID>82016569</LegalEntityAddressID>
        <LegalEntityEmailAddressID>68003157</LegalEntityEmailAddressID>
        <PleaTypeID>5</PleaTypeID>
        <GroupPartyAlias>משיבים</GroupPartyAlias>
        <IsConverted>false</IsConverted>
        <LegalEntityRegisteredNameID>8763188</LegalEntityRegisteredNameID>
        <RepresentatedNamesOfAssistant/>
        <LegalEntityTypeID>3</LegalEntityTypeID>
        <IsVerdictExists>false</IsVerdictExists>
        <IsAsirAzir>false</IsAsirAzir>
        <IsPublicationProhibited>false</IsPublicationProhibited>
        <PublicationProhibitedFullName>ממונה על חדלות פירעון – מחוז תל אביב</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עו"ד אורי בראון (נאמן)</FullName>
        <FirstName>עו"ד אורי</FirstName>
        <LastName>בראון</LastName>
        <PartyPropertyID>15</PartyPropertyID>
        <PartyPropertyName/>
        <AuthenticationTypeAndNumber>ת"ז </AuthenticationTypeAndNumber>
        <RepresentatedOrRepresentativesNames>אורי בראון</RepresentatedOrRepresentativesNames>
        <RepresentatedOrRepresentativesCount>1</RepresentatedOrRepresentativesCount>
        <InvitedBy/>
        <CaseID>79952492</CaseID>
        <CaseJudicialPersonPresentationDS>
          <CaseJudicalPersonActive>
            <CaseID>79952492</CaseID>
            <JudicialPersonID>059649806@GOV.IL</JudicialPersonID>
            <JudicialPersonTypeID>1</JudicialPersonTypeID>
            <JudicialTypeID>1</JudicialTypeID>
            <IsChairman>false</IsChairman>
            <TreatmentStartDate>2023-04-03T15:17:48.653+03:00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255189248</CasePartyID>
        <PartyTypeID>1</PartyTypeID>
        <ActivityStatusID>1</ActivityStatusID>
        <PartyAliasID>4</PartyAliasID>
        <PartyAliasName>משיב</PartyAliasName>
        <OrdinalNumber>3</OrdinalNumber>
        <LegalEntityID>81186560</LegalEntityID>
        <CaseLegalEntityID>124165330</CaseLegalEntityID>
        <AuthenticationTypeID>1</AuthenticationTypeID>
        <AuthenticationTypeName>ת"ז</AuthenticationTypeName>
        <IsMainPartyType>true</IsMainPartyType>
        <CaseDisplayIdentifier>66330-01-23</CaseDisplayIdentifier>
        <CaseTypeID>10295</CaseTypeID>
        <CaseTypeName>חדלות פירעון (חדל"פ)</CaseTypeName>
        <CaseName>במני חדד נ' חדד ואח'</CaseName>
        <FullAddress/>
        <MotionID>0</MotionID>
        <CasePleaID>0</CasePleaID>
        <LinkedCaseID>0</LinkedCaseID>
        <PartyID>2</PartyID>
        <CasePartyCategoryID>2</CasePartyCategoryID>
        <PleaTypeID>5</PleaTypeID>
        <GroupPartyAlias>משיבים</GroupPartyAlias>
        <IsConverted>false</IsConverted>
        <LegalEntityNameID>94792232</LegalEntityNameID>
        <RepresentatedNamesOfAssistant/>
        <LegalEntityTypeID>1</LegalEntityTypeID>
        <IsVerdictExists>false</IsVerdictExists>
        <IsAsirAzir>false</IsAsirAzir>
        <IsPublicationProhibited>false</IsPublicationProhibited>
        <PublicationProhibitedFullName>עו"ד אורי בראון (נאמן)</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יונה חדד</FullName>
        <FirstName>יונה</FirstName>
        <LastName>חדד</LastName>
        <PartyPropertyName/>
        <AuthenticationTypeAndNumber>ת"ז </AuthenticationTypeAndNumber>
        <RepresentatedOrRepresentativesNames>בן ציון ענקי</RepresentatedOrRepresentativesNames>
        <RepresentatedOrRepresentativesCount>1</RepresentatedOrRepresentativesCount>
        <InvitedBy/>
        <CaseID>79952492</CaseID>
        <CaseJudicialPersonPresentationDS>
          <CaseJudicalPersonActive>
            <CaseID>79952492</CaseID>
            <JudicialPersonID>059649806@GOV.IL</JudicialPersonID>
            <JudicialPersonTypeID>1</JudicialPersonTypeID>
            <JudicialTypeID>1</JudicialTypeID>
            <IsChairman>false</IsChairman>
            <TreatmentStartDate>2023-04-03T15:17:48.653+03:00</TreatmentStartDate>
            <TreatmentFinishDate>9999-12-31T23:59:59.997+02:00</TreatmentFinishDate>
            <IdentificationCardNumber>059649806</IdentificationCardNumber>
            <DisplayName>אילן בן-דור</DisplayName>
            <JudicialTypeName>שופט</JudicialTypeName>
            <CaseJudicialGroupNumber>0</CaseJudicialGroupNumber>
            <FirstName>אילן</FirstName>
            <LastName>בן-דור</LastName>
            <JudicialPersonTitle>שופט</JudicialPersonTitle>
          </CaseJudicalPersonActive>
        </CaseJudicialPersonPresentationDS>
        <CasePartyID>258490444</CasePartyID>
        <PartyTypeID>1</PartyTypeID>
        <ActivityStatusID>1</ActivityStatusID>
        <PartyAliasID>4</PartyAliasID>
        <PartyAliasName>משיב</PartyAliasName>
        <OrdinalNumber>4</OrdinalNumber>
        <LegalEntityID>81330919</LegalEntityID>
        <CaseLegalEntityID>125105494</CaseLegalEntityID>
        <AuthenticationTypeID>1</AuthenticationTypeID>
        <AuthenticationTypeName>ת"ז</AuthenticationTypeName>
        <IsMainPartyType>true</IsMainPartyType>
        <CaseDisplayIdentifier>66330-01-23</CaseDisplayIdentifier>
        <CaseTypeID>10295</CaseTypeID>
        <CaseTypeName>חדלות פירעון (חדל"פ)</CaseTypeName>
        <CaseName>במני חדד נ' חדד ואח'</CaseName>
        <FullAddress/>
        <MotionID>0</MotionID>
        <CasePleaID>0</CasePleaID>
        <LinkedCaseID>0</LinkedCaseID>
        <PartyID>2</PartyID>
        <CasePartyCategoryID>2</CasePartyCategoryID>
        <PleaTypeID>5</PleaTypeID>
        <GroupPartyAlias>משיבים</GroupPartyAlias>
        <IsConverted>false</IsConverted>
        <LegalEntityNameID>95151107</LegalEntityNameID>
        <RepresentatedNamesOfAssistant/>
        <LegalEntityTypeID>1</LegalEntityTypeID>
        <IsVerdictExists>false</IsVerdictExists>
        <IsAsirAzir>false</IsAsirAzir>
        <IsPublicationProhibited>false</IsPublicationProhibited>
        <PublicationProhibitedFullName>יונה חדד</PublicationProhibitedFullName>
      </CaseParties>
    </CasePartiesSelectionDS>
    <CaseName>במני חדד נ' חדד ואח'</CaseName>
    <CaseDisplayIdentifier>66330-01-23</CaseDisplayIdentifier>
    <CaseInterestID>10555</CaseInterestID>
    <CaseTypeShortName>חדל"פ</CaseTypeShortName>
  </dt_DecisionCase>
  <dt_DecisionJudgePanel>
    <JudgeID>059649806@GOV.IL</JudgeID>
    <DisplayName>אילן בן-דור</DisplayName>
    <RoleName>שופט</RoleName>
    <UserTitleName>שופט</UserTitleName>
  </dt_DecisionJudgePanel>
  <dt_LegalEntityDetails>
    <Fax>077-3181088</Fax>
    <Phone>03-7512901</Phone>
    <PartyID>2</PartyID>
    <PartyTypeID>2</PartyTypeID>
    <DecisionID>0</DecisionID>
    <StreetName>מנחם בגין 11</StreetName>
    <CityName>רמת גן</CityName>
    <FullName>אורי בראון</FullName>
    <Email>bta.office.law@gmail.com</Email>
    <IsPublicationProhibited>false</IsPublicationProhibited>
  </dt_LegalEntityDetails>
  <dt_LegalEntityDetails>
    <Fax>08-8683133</Fax>
    <Phone>08-8683132</Phone>
    <PartyID>2</PartyID>
    <PartyTypeID>2</PartyTypeID>
    <DecisionID>0</DecisionID>
    <StreetName>הבילויים 7</StreetName>
    <ZipCode>7040111</ZipCode>
    <CityName>גדרה</CityName>
    <FullName>בן ציון ענקי</FullName>
    <Email>bza.lawoffice@gmail.com</Email>
    <IsPublicationProhibited>false</IsPublicationProhibited>
  </dt_LegalEntityDetails>
  <dt_LegalEntityDetails>
    <AddressDesc>מגורים</AddressDesc>
    <PartyID>1</PartyID>
    <PartyTypeID>1</PartyTypeID>
    <DecisionID>0</DecisionID>
    <StreetName>השקד 18</StreetName>
    <ZipCode>4060119</ZipCode>
    <CityName>תל מונד</CityName>
    <FullName>מלי במני חדד</FullName>
    <IsPublicationProhibited>false</IsPublicationProhibited>
  </dt_LegalEntityDetails>
  <dt_LegalEntityDetails>
    <Fax>09-7451408</Fax>
    <Phone>09-7433766</Phone>
    <AddressDesc>ת.ד 11428</AddressDesc>
    <PartyID>1</PartyID>
    <PartyTypeID>2</PartyTypeID>
    <DecisionID>0</DecisionID>
    <StreetName>המלאכה 23 א</StreetName>
    <ZipCode>4809173</ZipCode>
    <CityName>ראש העין</CityName>
    <FullName>דוד מזור</FullName>
    <Email>MAZORDAVE@GMAIL.COM</Email>
    <IsPublicationProhibited>false</IsPublicationProhibited>
  </dt_LegalEntityDetails>
  <dt_LegalEntityDetails>
    <AddressDesc>משק 64 במושב בני ראם</AddressDesc>
    <PartyID>2</PartyID>
    <PartyTypeID>1</PartyTypeID>
    <DecisionID>0</DecisionID>
    <StreetName>משק 64</StreetName>
    <ZipCode>7984000</ZipCode>
    <CityName>בני ראם</CityName>
    <FullName>זכריה חדד</FullName>
    <IsPublicationProhibited>false</IsPublicationProhibited>
  </dt_LegalEntityDetails>
  <dt_LegalEntityDetails>
    <Fax>153-503853855</Fax>
    <PartyID>2</PartyID>
    <PartyTypeID>2</PartyTypeID>
    <DecisionID>0</DecisionID>
    <StreetName>הרב גמליאל יוסף 1</StreetName>
    <ZipCode>7071501</ZipCode>
    <CityName>גדרה</CityName>
    <FullName>קארין חיים</FullName>
    <Email>karinhaimlaw@gmail.com</Email>
    <IsPublicationProhibited>false</IsPublicationProhibited>
  </dt_LegalEntityDetails>
  <dt_LegalEntityDetails>
    <Fax>02-6467531</Fax>
    <Phone>03-6899666</Phone>
    <AddressDesc>ת.ד 9040</AddressDesc>
    <PartyID>2</PartyID>
    <PartyTypeID>1</PartyTypeID>
    <DecisionID>0</DecisionID>
    <StreetName>השלושה 2 כניסה ב</StreetName>
    <ZipCode>61090</ZipCode>
    <CityName>תל אביב -יפו</CityName>
    <FullName> ממונה על חדלות פירעון – מחוז תל אביב</FullName>
    <Email>diyon-tv@justice.gov.il</Email>
    <IsPublicationProhibited>false</IsPublicationProhibited>
  </dt_LegalEntityDetails>
  <dt_LegalEntityDetails>
    <PartyID>2</PartyID>
    <PartyTypeID>1</PartyTypeID>
    <DecisionID>0</DecisionID>
    <FullName>עו"ד אורי בראון </FullName>
    <IsPublicationProhibited>false</IsPublicationProhibited>
  </dt_LegalEntityDetails>
  <dt_LegalEntityDetails>
    <PartyID>2</PartyID>
    <PartyTypeID>1</PartyTypeID>
    <DecisionID>0</DecisionID>
    <FullName>יונה  חדד</FullName>
    <IsPublicationProhibited>false</IsPublicationProhibited>
  </dt_LegalEntityDetails>
  <dt_CaseJudicalPersonActive>
    <CaseJudicalPerson>שופט אילן בן-דור</CaseJudicalPerson>
  </dt_CaseJudicalPersonActive>
  <dt_Sitting>
    <FutureSittingDate>2024-06-10T13:30:00+03:00</FutureSittingDate>
    <PreviousMeetingDate>2023-04-03T09:30:00+03:00</PreviousMeetingDate>
    <NextSittingTypeID>46</NextSittingTypeID>
    <PreviousSittingTypeID>5</PreviousSittingTypeID>
    <NextMeetingDisplayName>שופט אילן בן-דור</NextMeetingDisplayName>
    <NextMeetingRoleName>שופט</NextMeetingRoleName>
    <NextMeetingUserTitleName>שופט</NextMeetingUserTitleName>
    <NextMeetingUserUPN>059649806@GOV.IL</NextMeetingUserUPN>
    <PreviousMeetingDisplayName>שופט אילן בן-דור</PreviousMeetingDisplayName>
    <PreviousMeetingRoleName>שופט</PreviousMeetingRoleName>
    <PreviousMeetingUserTitleName>שופט</PreviousMeetingUserTitleName>
    <PreviousMeetingUserUPN>059649806@GOV.IL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E4E80C-FF25-499D-B5E3-589CF0908529}">
  <ds:schemaRefs/>
</ds:datastoreItem>
</file>

<file path=customXml/itemProps2.xml><?xml version="1.0" encoding="utf-8"?>
<ds:datastoreItem xmlns:ds="http://schemas.openxmlformats.org/officeDocument/2006/customXml" ds:itemID="{65E119E9-1EAC-48A6-BC45-8A948CA9D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10527</Words>
  <Characters>52639</Characters>
  <Application>Microsoft Office Word</Application>
  <DocSecurity>0</DocSecurity>
  <Lines>438</Lines>
  <Paragraphs>126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2024-06-27T07:39:00Z</dcterms:created>
  <dcterms:modified xsi:type="dcterms:W3CDTF">2024-06-27T07:39:00Z</dcterms:modified>
</cp:coreProperties>
</file>